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6AB8C" w14:textId="33F1D3FB" w:rsidR="00AA0BA9" w:rsidRPr="00B456D1" w:rsidRDefault="00612E2D" w:rsidP="006B6AAA">
      <w:pPr>
        <w:rPr>
          <w:b/>
          <w:sz w:val="44"/>
          <w:szCs w:val="32"/>
        </w:rPr>
      </w:pPr>
      <w:bookmarkStart w:id="0" w:name="_Toc496191378"/>
      <w:r w:rsidRPr="00D54D06">
        <w:rPr>
          <w:b/>
          <w:sz w:val="44"/>
          <w:szCs w:val="32"/>
        </w:rPr>
        <w:t>Qualification</w:t>
      </w:r>
      <w:bookmarkEnd w:id="0"/>
      <w:r w:rsidR="006B6AAA" w:rsidRPr="00D54D06">
        <w:rPr>
          <w:b/>
          <w:sz w:val="44"/>
          <w:szCs w:val="32"/>
        </w:rPr>
        <w:t xml:space="preserve"> </w:t>
      </w:r>
    </w:p>
    <w:p w14:paraId="50AFE96F" w14:textId="22852C83" w:rsidR="006B6AAA" w:rsidRPr="00D54D06" w:rsidRDefault="00AA0BA9" w:rsidP="006B6AAA">
      <w:r w:rsidRPr="00D54D06">
        <w:rPr>
          <w:b/>
        </w:rPr>
        <w:t>Qualification code</w:t>
      </w:r>
      <w:r w:rsidRPr="00D54D06">
        <w:t xml:space="preserve"> </w:t>
      </w:r>
      <w:r w:rsidRPr="00D54D06">
        <w:tab/>
      </w:r>
      <w:r w:rsidR="006E4F6B" w:rsidRPr="00D54D06">
        <w:t>CP</w:t>
      </w:r>
      <w:r w:rsidR="00442B5E">
        <w:t>P</w:t>
      </w:r>
      <w:r w:rsidR="00AF077C">
        <w:t>3</w:t>
      </w:r>
      <w:r w:rsidR="00014F5E" w:rsidRPr="00D54D06">
        <w:t>0</w:t>
      </w:r>
      <w:r w:rsidR="00AF077C">
        <w:t>8</w:t>
      </w:r>
      <w:r w:rsidR="00014F5E" w:rsidRPr="00D54D06">
        <w:t>20</w:t>
      </w:r>
    </w:p>
    <w:p w14:paraId="079B1D6C" w14:textId="6A095722" w:rsidR="00AA0BA9" w:rsidRPr="00D54D06" w:rsidRDefault="00AA0BA9" w:rsidP="00612E2D">
      <w:r w:rsidRPr="00D54D06">
        <w:rPr>
          <w:b/>
        </w:rPr>
        <w:t>Qualification title</w:t>
      </w:r>
      <w:r w:rsidRPr="00D54D06">
        <w:t xml:space="preserve"> </w:t>
      </w:r>
      <w:r w:rsidRPr="00D54D06">
        <w:tab/>
      </w:r>
      <w:r w:rsidR="006E4F6B" w:rsidRPr="00D54D06">
        <w:t xml:space="preserve">Certificate </w:t>
      </w:r>
      <w:r w:rsidR="00AF077C">
        <w:t>I</w:t>
      </w:r>
      <w:r w:rsidR="006E4F6B" w:rsidRPr="00D54D06">
        <w:t xml:space="preserve">II in </w:t>
      </w:r>
      <w:r w:rsidR="007506C0">
        <w:t>Fire Protection Inspection and Testing</w:t>
      </w:r>
    </w:p>
    <w:p w14:paraId="64C46065" w14:textId="77777777" w:rsidR="00612E2D" w:rsidRPr="00D54D06" w:rsidRDefault="00AA0BA9" w:rsidP="00612E2D">
      <w:pPr>
        <w:rPr>
          <w:b/>
          <w:bCs/>
        </w:rPr>
      </w:pPr>
      <w:r w:rsidRPr="00D54D06">
        <w:rPr>
          <w:b/>
          <w:bCs/>
        </w:rPr>
        <w:t>Qualification description</w:t>
      </w:r>
    </w:p>
    <w:p w14:paraId="3B371362" w14:textId="77777777" w:rsidR="00AF077C" w:rsidRDefault="00014F5E" w:rsidP="00AF077C">
      <w:bookmarkStart w:id="1" w:name="O_661071"/>
      <w:bookmarkStart w:id="2" w:name="O_661072"/>
      <w:bookmarkEnd w:id="1"/>
      <w:bookmarkEnd w:id="2"/>
      <w:r w:rsidRPr="00D54D06">
        <w:t xml:space="preserve">This is a qualification for </w:t>
      </w:r>
      <w:r w:rsidR="000F61DC">
        <w:t>fire protection technicians responsible for non-trade installation</w:t>
      </w:r>
      <w:r w:rsidR="00AF077C">
        <w:t>, commissioning and complex</w:t>
      </w:r>
      <w:r w:rsidR="000F61DC">
        <w:t xml:space="preserve"> servicing of </w:t>
      </w:r>
      <w:r w:rsidR="00AF077C">
        <w:t xml:space="preserve">fire protection systems or for supervision of fire protection services work. </w:t>
      </w:r>
    </w:p>
    <w:p w14:paraId="78DDAB7D" w14:textId="4AEF6F3E" w:rsidR="000F61DC" w:rsidRDefault="00AF077C" w:rsidP="00AF077C">
      <w:r>
        <w:t>At Certificate III level, fire protection technicians may specialise in activities relating to certain types of systems, such as</w:t>
      </w:r>
      <w:r w:rsidR="000F61DC">
        <w:t>:</w:t>
      </w:r>
    </w:p>
    <w:p w14:paraId="5F9D722F" w14:textId="77777777" w:rsidR="00AF077C" w:rsidRPr="00AF077C" w:rsidRDefault="00AF077C" w:rsidP="00AF077C">
      <w:pPr>
        <w:pStyle w:val="ListParagraph"/>
        <w:numPr>
          <w:ilvl w:val="0"/>
          <w:numId w:val="7"/>
        </w:numPr>
        <w:spacing w:before="120" w:after="120"/>
        <w:rPr>
          <w:sz w:val="22"/>
          <w:szCs w:val="22"/>
        </w:rPr>
      </w:pPr>
      <w:r w:rsidRPr="00AF077C">
        <w:rPr>
          <w:sz w:val="22"/>
          <w:szCs w:val="22"/>
        </w:rPr>
        <w:t>installing and commissioning pre-engineered fire-suppression systems</w:t>
      </w:r>
    </w:p>
    <w:p w14:paraId="3632532F" w14:textId="77777777" w:rsidR="00AF077C" w:rsidRPr="00AF077C" w:rsidRDefault="00AF077C" w:rsidP="00AF077C">
      <w:pPr>
        <w:pStyle w:val="ListParagraph"/>
        <w:numPr>
          <w:ilvl w:val="0"/>
          <w:numId w:val="7"/>
        </w:numPr>
        <w:spacing w:before="120" w:after="120"/>
        <w:rPr>
          <w:sz w:val="22"/>
          <w:szCs w:val="22"/>
        </w:rPr>
      </w:pPr>
      <w:r w:rsidRPr="00AF077C">
        <w:rPr>
          <w:sz w:val="22"/>
          <w:szCs w:val="22"/>
        </w:rPr>
        <w:t>installing gaseous fire-suppression system containers and actuators</w:t>
      </w:r>
    </w:p>
    <w:p w14:paraId="25C39BCC" w14:textId="43AE114F" w:rsidR="00014F5E" w:rsidRPr="000F61DC" w:rsidRDefault="00AF077C" w:rsidP="00AF077C">
      <w:pPr>
        <w:pStyle w:val="ListParagraph"/>
        <w:numPr>
          <w:ilvl w:val="0"/>
          <w:numId w:val="7"/>
        </w:numPr>
        <w:spacing w:before="120" w:after="120" w:line="259" w:lineRule="auto"/>
        <w:rPr>
          <w:sz w:val="22"/>
          <w:szCs w:val="22"/>
        </w:rPr>
      </w:pPr>
      <w:r w:rsidRPr="00AF077C">
        <w:rPr>
          <w:sz w:val="22"/>
          <w:szCs w:val="22"/>
        </w:rPr>
        <w:t>conducting complex servicing of fire protection systems</w:t>
      </w:r>
      <w:r w:rsidR="000F61DC">
        <w:rPr>
          <w:sz w:val="22"/>
          <w:szCs w:val="22"/>
        </w:rPr>
        <w:t>.</w:t>
      </w:r>
    </w:p>
    <w:p w14:paraId="56D40748" w14:textId="30A3C315" w:rsidR="00AA0BA9" w:rsidRPr="00D54D06" w:rsidRDefault="00014F5E" w:rsidP="00014F5E">
      <w:r w:rsidRPr="00D54D06">
        <w:t xml:space="preserve">Licensing, legislative, regulatory or certification requirements apply to </w:t>
      </w:r>
      <w:r w:rsidR="00E31D77">
        <w:t>fire protection inspection and testing</w:t>
      </w:r>
      <w:r w:rsidRPr="00D54D06">
        <w:t xml:space="preserve"> in some states and territories.  For further information, check with the relevant regulatory authority.</w:t>
      </w:r>
    </w:p>
    <w:p w14:paraId="7ED615B1" w14:textId="77777777" w:rsidR="00612E2D" w:rsidRPr="00D54D06" w:rsidRDefault="00AA0BA9" w:rsidP="00612E2D">
      <w:pPr>
        <w:rPr>
          <w:b/>
          <w:bCs/>
        </w:rPr>
      </w:pPr>
      <w:r w:rsidRPr="00D54D06">
        <w:rPr>
          <w:b/>
          <w:bCs/>
        </w:rPr>
        <w:t>Packaging rules</w:t>
      </w:r>
      <w:r w:rsidR="003366AB" w:rsidRPr="00D54D06">
        <w:rPr>
          <w:b/>
          <w:bCs/>
        </w:rPr>
        <w:t xml:space="preserve"> </w:t>
      </w:r>
    </w:p>
    <w:p w14:paraId="760B2DF2" w14:textId="77777777" w:rsidR="00AA0BA9" w:rsidRPr="00D54D06" w:rsidRDefault="00AA0BA9" w:rsidP="000D61F7">
      <w:pPr>
        <w:pStyle w:val="BodyText"/>
        <w:spacing w:line="240" w:lineRule="auto"/>
      </w:pPr>
      <w:r w:rsidRPr="00D54D06">
        <w:t>To achieve this qualification, competency must be demonstrated in:</w:t>
      </w:r>
    </w:p>
    <w:p w14:paraId="25EE867D" w14:textId="3DFFBEA7" w:rsidR="00AA0BA9" w:rsidRPr="00D54D06" w:rsidRDefault="004933A4" w:rsidP="000D61F7">
      <w:pPr>
        <w:numPr>
          <w:ilvl w:val="0"/>
          <w:numId w:val="4"/>
        </w:numPr>
        <w:spacing w:after="120" w:line="240" w:lineRule="auto"/>
        <w:ind w:hanging="357"/>
      </w:pPr>
      <w:bookmarkStart w:id="3" w:name="_Hlk14774805"/>
      <w:r>
        <w:t>1</w:t>
      </w:r>
      <w:r w:rsidR="0089165E">
        <w:t>6</w:t>
      </w:r>
      <w:r w:rsidR="00C6522E" w:rsidRPr="00D54D06">
        <w:t xml:space="preserve"> </w:t>
      </w:r>
      <w:r w:rsidR="00AA0BA9" w:rsidRPr="00D54D06">
        <w:t>units of competency:</w:t>
      </w:r>
    </w:p>
    <w:p w14:paraId="4AAA40B4" w14:textId="571AD08D" w:rsidR="00AA0BA9" w:rsidRPr="00D54D06" w:rsidRDefault="0089165E" w:rsidP="00AD18EB">
      <w:pPr>
        <w:numPr>
          <w:ilvl w:val="1"/>
          <w:numId w:val="6"/>
        </w:numPr>
        <w:spacing w:after="0" w:line="240" w:lineRule="auto"/>
        <w:ind w:hanging="357"/>
      </w:pPr>
      <w:r>
        <w:t>6</w:t>
      </w:r>
      <w:r w:rsidR="00C6522E" w:rsidRPr="00D54D06">
        <w:t xml:space="preserve"> </w:t>
      </w:r>
      <w:r w:rsidR="00AA0BA9" w:rsidRPr="00D54D06">
        <w:t>core units</w:t>
      </w:r>
    </w:p>
    <w:p w14:paraId="00810453" w14:textId="74631A59" w:rsidR="00AA0BA9" w:rsidRPr="00D54D06" w:rsidRDefault="0089165E" w:rsidP="000D61F7">
      <w:pPr>
        <w:numPr>
          <w:ilvl w:val="1"/>
          <w:numId w:val="6"/>
        </w:numPr>
        <w:spacing w:after="120" w:line="240" w:lineRule="auto"/>
        <w:ind w:hanging="357"/>
      </w:pPr>
      <w:r>
        <w:t>10</w:t>
      </w:r>
      <w:r w:rsidR="00AA0BA9" w:rsidRPr="00D54D06">
        <w:t xml:space="preserve"> elective units.</w:t>
      </w:r>
    </w:p>
    <w:bookmarkEnd w:id="3"/>
    <w:p w14:paraId="708F89D7" w14:textId="49CE6719" w:rsidR="00AA0BA9" w:rsidRPr="00D54D06" w:rsidRDefault="007B382A" w:rsidP="000D61F7">
      <w:pPr>
        <w:spacing w:after="120" w:line="240" w:lineRule="auto"/>
        <w:rPr>
          <w:rFonts w:cs="Calibri"/>
        </w:rPr>
      </w:pPr>
      <w:r w:rsidRPr="00D54D06">
        <w:rPr>
          <w:rFonts w:cs="Calibri"/>
        </w:rPr>
        <w:t>For the elective units:</w:t>
      </w:r>
    </w:p>
    <w:p w14:paraId="4C923772" w14:textId="75B5925F" w:rsidR="0089165E" w:rsidRDefault="009F17E6" w:rsidP="000D61F7">
      <w:pPr>
        <w:numPr>
          <w:ilvl w:val="0"/>
          <w:numId w:val="4"/>
        </w:numPr>
        <w:spacing w:after="120" w:line="240" w:lineRule="auto"/>
        <w:ind w:hanging="357"/>
      </w:pPr>
      <w:r>
        <w:t xml:space="preserve">a minimum of </w:t>
      </w:r>
      <w:r w:rsidR="0089165E">
        <w:t>4 units must be selected from Group A</w:t>
      </w:r>
    </w:p>
    <w:p w14:paraId="46C6994E" w14:textId="4CB2B810" w:rsidR="007B382A" w:rsidRPr="00D54D06" w:rsidRDefault="004933A4" w:rsidP="000D61F7">
      <w:pPr>
        <w:numPr>
          <w:ilvl w:val="0"/>
          <w:numId w:val="4"/>
        </w:numPr>
        <w:spacing w:after="120" w:line="240" w:lineRule="auto"/>
        <w:ind w:hanging="357"/>
      </w:pPr>
      <w:r>
        <w:t xml:space="preserve">up to </w:t>
      </w:r>
      <w:r w:rsidR="009F17E6">
        <w:t>4</w:t>
      </w:r>
      <w:r w:rsidR="007B382A" w:rsidRPr="00D54D06">
        <w:t xml:space="preserve"> units </w:t>
      </w:r>
      <w:r>
        <w:t xml:space="preserve">may </w:t>
      </w:r>
      <w:r w:rsidR="007B382A" w:rsidRPr="00D54D06">
        <w:t xml:space="preserve">be selected from </w:t>
      </w:r>
      <w:r w:rsidR="009F17E6">
        <w:t>Group B</w:t>
      </w:r>
    </w:p>
    <w:p w14:paraId="196CFD22" w14:textId="40A24A73" w:rsidR="00F90F33" w:rsidRDefault="004933A4" w:rsidP="000D61F7">
      <w:pPr>
        <w:numPr>
          <w:ilvl w:val="0"/>
          <w:numId w:val="4"/>
        </w:numPr>
        <w:spacing w:after="120" w:line="240" w:lineRule="auto"/>
        <w:ind w:hanging="357"/>
      </w:pPr>
      <w:r>
        <w:t xml:space="preserve">up to </w:t>
      </w:r>
      <w:r w:rsidR="009F17E6">
        <w:t>4</w:t>
      </w:r>
      <w:r>
        <w:t xml:space="preserve"> </w:t>
      </w:r>
      <w:r w:rsidR="009F17E6">
        <w:t xml:space="preserve">vocationally relevant fire industry </w:t>
      </w:r>
      <w:r w:rsidR="007B382A" w:rsidRPr="00D54D06">
        <w:t>units may be selected from</w:t>
      </w:r>
      <w:r w:rsidR="003E252A" w:rsidRPr="00D54D06">
        <w:t xml:space="preserve"> </w:t>
      </w:r>
      <w:r w:rsidR="009F17E6">
        <w:t xml:space="preserve">Certificate III or Certificate IV qualifications in the current versions of the following </w:t>
      </w:r>
      <w:r w:rsidR="003E252A" w:rsidRPr="00D54D06">
        <w:t>Training Package</w:t>
      </w:r>
      <w:r w:rsidR="009F17E6">
        <w:t>s</w:t>
      </w:r>
      <w:r w:rsidR="00315C9D">
        <w:t>:</w:t>
      </w:r>
    </w:p>
    <w:p w14:paraId="10DBCA17" w14:textId="393E1D8A" w:rsidR="00F90F33" w:rsidRDefault="00117CAC" w:rsidP="00FD2B1D">
      <w:pPr>
        <w:numPr>
          <w:ilvl w:val="1"/>
          <w:numId w:val="4"/>
        </w:numPr>
        <w:spacing w:after="0" w:line="240" w:lineRule="auto"/>
        <w:ind w:left="1434" w:hanging="357"/>
      </w:pPr>
      <w:r>
        <w:t>CPP Property Services Training Package</w:t>
      </w:r>
    </w:p>
    <w:p w14:paraId="1F001B2A" w14:textId="17587720" w:rsidR="00117CAC" w:rsidRDefault="00117CAC" w:rsidP="00FD2B1D">
      <w:pPr>
        <w:numPr>
          <w:ilvl w:val="1"/>
          <w:numId w:val="4"/>
        </w:numPr>
        <w:spacing w:after="0" w:line="240" w:lineRule="auto"/>
        <w:ind w:left="1434" w:hanging="357"/>
      </w:pPr>
      <w:r>
        <w:t>CPC Construction, Plumbing and Services Training Package</w:t>
      </w:r>
    </w:p>
    <w:p w14:paraId="37DEB7EE" w14:textId="58AA72E8" w:rsidR="00117CAC" w:rsidRDefault="00117CAC" w:rsidP="00117CAC">
      <w:pPr>
        <w:numPr>
          <w:ilvl w:val="1"/>
          <w:numId w:val="4"/>
        </w:numPr>
        <w:spacing w:after="120" w:line="240" w:lineRule="auto"/>
      </w:pPr>
      <w:r>
        <w:t>UEE Electrotechnology Training Package.</w:t>
      </w:r>
    </w:p>
    <w:p w14:paraId="4DA7E4F5" w14:textId="77777777" w:rsidR="00AA0BA9" w:rsidRPr="00D54D06" w:rsidRDefault="00AA0BA9" w:rsidP="00AA0BA9">
      <w:pPr>
        <w:rPr>
          <w:b/>
          <w:bCs/>
        </w:rPr>
      </w:pPr>
      <w:r w:rsidRPr="00D54D06">
        <w:rPr>
          <w:b/>
          <w:bCs/>
        </w:rPr>
        <w:t>Prerequisite units</w:t>
      </w:r>
    </w:p>
    <w:p w14:paraId="3D0766F1" w14:textId="2F5F5A3E" w:rsidR="00AA0BA9" w:rsidRPr="00D54D06" w:rsidRDefault="00AA0BA9">
      <w:pPr>
        <w:rPr>
          <w:rFonts w:cs="Calibri"/>
        </w:rPr>
      </w:pPr>
      <w:r w:rsidRPr="00D54D06">
        <w:rPr>
          <w:rFonts w:cs="Calibri"/>
        </w:rPr>
        <w:t xml:space="preserve">An asterisk (*) against a unit code below indicates that there is a prerequisite requirement that must be met. Prerequisite unit(s) </w:t>
      </w:r>
      <w:r w:rsidRPr="00D54D06">
        <w:rPr>
          <w:rFonts w:cs="Calibri"/>
          <w:shd w:val="clear" w:color="auto" w:fill="FFFFFF"/>
        </w:rPr>
        <w:t>must be assessed before assessment of any unit of competency with an asterisk. Check the unit of competency for information on specific prerequisite</w:t>
      </w:r>
      <w:r w:rsidR="00B4464F" w:rsidRPr="00D54D06">
        <w:rPr>
          <w:rFonts w:cs="Calibri"/>
          <w:shd w:val="clear" w:color="auto" w:fill="FFFFFF"/>
        </w:rPr>
        <w:t xml:space="preserve"> </w:t>
      </w:r>
      <w:r w:rsidRPr="00D54D06">
        <w:rPr>
          <w:rFonts w:cs="Calibri"/>
        </w:rPr>
        <w:t>requirements. All prerequisite requirements are packaged in the qualification.</w:t>
      </w:r>
    </w:p>
    <w:p w14:paraId="60050085" w14:textId="77777777" w:rsidR="00AA0BA9" w:rsidRPr="00D54D06" w:rsidRDefault="00AA0BA9" w:rsidP="008A3D74">
      <w:pPr>
        <w:keepNext/>
        <w:rPr>
          <w:b/>
        </w:rPr>
      </w:pPr>
      <w:r w:rsidRPr="00D54D06">
        <w:rPr>
          <w:b/>
        </w:rPr>
        <w:t>Core units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"/>
        <w:gridCol w:w="7922"/>
      </w:tblGrid>
      <w:tr w:rsidR="00913B1B" w:rsidRPr="00D54D06" w14:paraId="08FF9613" w14:textId="77777777" w:rsidTr="00B456D1">
        <w:tc>
          <w:tcPr>
            <w:tcW w:w="1571" w:type="dxa"/>
          </w:tcPr>
          <w:p w14:paraId="382B654C" w14:textId="0C5925D8" w:rsidR="00913B1B" w:rsidRPr="00D54D06" w:rsidRDefault="00866FC0" w:rsidP="001157D2">
            <w:bookmarkStart w:id="4" w:name="O_661073"/>
            <w:bookmarkEnd w:id="4"/>
            <w:r>
              <w:t>BSBWOR</w:t>
            </w:r>
            <w:r w:rsidR="00DE1000">
              <w:t>3</w:t>
            </w:r>
            <w:r>
              <w:t>0</w:t>
            </w:r>
            <w:r w:rsidR="00DE1000">
              <w:t>1</w:t>
            </w:r>
          </w:p>
        </w:tc>
        <w:tc>
          <w:tcPr>
            <w:tcW w:w="7922" w:type="dxa"/>
          </w:tcPr>
          <w:p w14:paraId="73D9E3A8" w14:textId="77A35207" w:rsidR="00913B1B" w:rsidRPr="00D54D06" w:rsidRDefault="00DE1000" w:rsidP="001157D2">
            <w:r w:rsidRPr="00DE1000">
              <w:t>Organise personal work priorities and development</w:t>
            </w:r>
          </w:p>
        </w:tc>
      </w:tr>
      <w:tr w:rsidR="00913B1B" w:rsidRPr="00D54D06" w14:paraId="5623EE3B" w14:textId="77777777" w:rsidTr="00B456D1">
        <w:tc>
          <w:tcPr>
            <w:tcW w:w="1571" w:type="dxa"/>
          </w:tcPr>
          <w:p w14:paraId="502D1C0F" w14:textId="71F87EA5" w:rsidR="00913B1B" w:rsidRPr="00D54D06" w:rsidRDefault="00866FC0" w:rsidP="001157D2">
            <w:r>
              <w:t>CPPCMN2002</w:t>
            </w:r>
          </w:p>
        </w:tc>
        <w:tc>
          <w:tcPr>
            <w:tcW w:w="7922" w:type="dxa"/>
          </w:tcPr>
          <w:p w14:paraId="6D9A5E63" w14:textId="02FCA157" w:rsidR="00913B1B" w:rsidRPr="00D54D06" w:rsidRDefault="00866FC0" w:rsidP="001157D2">
            <w:r>
              <w:t>Participate in workplace safety arrangements</w:t>
            </w:r>
          </w:p>
        </w:tc>
      </w:tr>
      <w:tr w:rsidR="00D94517" w:rsidRPr="00D54D06" w14:paraId="73E33E9F" w14:textId="77777777" w:rsidTr="00B456D1">
        <w:tc>
          <w:tcPr>
            <w:tcW w:w="1571" w:type="dxa"/>
          </w:tcPr>
          <w:p w14:paraId="437A505F" w14:textId="7428A452" w:rsidR="00D94517" w:rsidRPr="00D54D06" w:rsidRDefault="00D94517" w:rsidP="00D94517">
            <w:r w:rsidRPr="004F08F7">
              <w:lastRenderedPageBreak/>
              <w:t>CPPFES2004</w:t>
            </w:r>
          </w:p>
        </w:tc>
        <w:tc>
          <w:tcPr>
            <w:tcW w:w="7922" w:type="dxa"/>
          </w:tcPr>
          <w:p w14:paraId="466A3796" w14:textId="127BF120" w:rsidR="00D94517" w:rsidRPr="00D54D06" w:rsidRDefault="00D94517" w:rsidP="00D94517">
            <w:r w:rsidRPr="004F08F7">
              <w:t>Identify</w:t>
            </w:r>
            <w:r w:rsidR="00E977EE">
              <w:t xml:space="preserve"> and report on</w:t>
            </w:r>
            <w:r w:rsidRPr="004F08F7">
              <w:t xml:space="preserve"> types of installed fire safety equipment and systems</w:t>
            </w:r>
          </w:p>
        </w:tc>
      </w:tr>
      <w:tr w:rsidR="00D94517" w:rsidRPr="00D54D06" w14:paraId="2F3032FE" w14:textId="77777777" w:rsidTr="00B456D1">
        <w:tc>
          <w:tcPr>
            <w:tcW w:w="1571" w:type="dxa"/>
          </w:tcPr>
          <w:p w14:paraId="6FE63E63" w14:textId="5634C903" w:rsidR="00D94517" w:rsidRPr="00D54D06" w:rsidRDefault="00D94517" w:rsidP="00D94517">
            <w:r w:rsidRPr="004F08F7">
              <w:t>CPPFES2005</w:t>
            </w:r>
          </w:p>
        </w:tc>
        <w:tc>
          <w:tcPr>
            <w:tcW w:w="7922" w:type="dxa"/>
          </w:tcPr>
          <w:p w14:paraId="6EF45A11" w14:textId="2978BCB3" w:rsidR="00D94517" w:rsidRPr="00D54D06" w:rsidRDefault="00D94517" w:rsidP="00D94517">
            <w:r w:rsidRPr="004F08F7">
              <w:t>Demonstrate first attack firefighting equipment</w:t>
            </w:r>
          </w:p>
        </w:tc>
      </w:tr>
      <w:tr w:rsidR="00D94517" w:rsidRPr="00D54D06" w14:paraId="61C40690" w14:textId="77777777" w:rsidTr="00B456D1">
        <w:tc>
          <w:tcPr>
            <w:tcW w:w="1571" w:type="dxa"/>
          </w:tcPr>
          <w:p w14:paraId="6720F4A4" w14:textId="42104F3B" w:rsidR="00D94517" w:rsidRPr="00D54D06" w:rsidRDefault="00D94517" w:rsidP="00D94517">
            <w:r w:rsidRPr="004F08F7">
              <w:t>CPPFES2006</w:t>
            </w:r>
          </w:p>
        </w:tc>
        <w:tc>
          <w:tcPr>
            <w:tcW w:w="7922" w:type="dxa"/>
          </w:tcPr>
          <w:p w14:paraId="76562485" w14:textId="4FE5AEC8" w:rsidR="00D94517" w:rsidRPr="00D54D06" w:rsidRDefault="00D94517" w:rsidP="00D94517">
            <w:r w:rsidRPr="004F08F7">
              <w:t xml:space="preserve">Prepare for installation and servicing operations </w:t>
            </w:r>
          </w:p>
        </w:tc>
      </w:tr>
      <w:tr w:rsidR="00D94517" w:rsidRPr="00D54D06" w14:paraId="50F7850A" w14:textId="77777777" w:rsidTr="00B456D1">
        <w:tc>
          <w:tcPr>
            <w:tcW w:w="1571" w:type="dxa"/>
          </w:tcPr>
          <w:p w14:paraId="383CB315" w14:textId="06BC6DCB" w:rsidR="00D94517" w:rsidRPr="00D54D06" w:rsidRDefault="00D94517" w:rsidP="00D94517">
            <w:r w:rsidRPr="004F08F7">
              <w:t>CPPFES2007</w:t>
            </w:r>
          </w:p>
        </w:tc>
        <w:tc>
          <w:tcPr>
            <w:tcW w:w="7922" w:type="dxa"/>
          </w:tcPr>
          <w:p w14:paraId="0BAEEE45" w14:textId="735DE50A" w:rsidR="00D94517" w:rsidRPr="00D54D06" w:rsidRDefault="00D94517" w:rsidP="00D94517">
            <w:r w:rsidRPr="004F08F7">
              <w:t>Maintain quality of work and promote continuous improvement</w:t>
            </w:r>
          </w:p>
        </w:tc>
      </w:tr>
    </w:tbl>
    <w:p w14:paraId="687BB97F" w14:textId="5E162C52" w:rsidR="00AA0BA9" w:rsidRDefault="00AA0BA9" w:rsidP="00D72405">
      <w:pPr>
        <w:keepNext/>
        <w:spacing w:before="120"/>
        <w:rPr>
          <w:b/>
        </w:rPr>
      </w:pPr>
      <w:r w:rsidRPr="00D54D06">
        <w:rPr>
          <w:b/>
        </w:rPr>
        <w:t>Elective units</w:t>
      </w:r>
    </w:p>
    <w:p w14:paraId="13AF1E0F" w14:textId="1170AEB6" w:rsidR="00B029A5" w:rsidRPr="00D54D06" w:rsidRDefault="00B029A5" w:rsidP="00D72405">
      <w:pPr>
        <w:keepNext/>
        <w:spacing w:before="120"/>
        <w:rPr>
          <w:b/>
        </w:rPr>
      </w:pPr>
      <w:r>
        <w:rPr>
          <w:b/>
        </w:rPr>
        <w:t>Group A: Fire protection inspection and testing electives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7930"/>
      </w:tblGrid>
      <w:tr w:rsidR="00394969" w:rsidRPr="00D54D06" w14:paraId="0D0C271A" w14:textId="77777777" w:rsidTr="00FF283F">
        <w:tc>
          <w:tcPr>
            <w:tcW w:w="1563" w:type="dxa"/>
          </w:tcPr>
          <w:p w14:paraId="072F66F5" w14:textId="77777777" w:rsidR="00394969" w:rsidRPr="004F08F7" w:rsidRDefault="00394969" w:rsidP="00FF283F">
            <w:r w:rsidRPr="004F08F7">
              <w:t>CPPFES2003</w:t>
            </w:r>
          </w:p>
        </w:tc>
        <w:tc>
          <w:tcPr>
            <w:tcW w:w="7930" w:type="dxa"/>
          </w:tcPr>
          <w:p w14:paraId="408D6FF0" w14:textId="77777777" w:rsidR="00394969" w:rsidRPr="004F08F7" w:rsidRDefault="00394969" w:rsidP="00FF283F">
            <w:r w:rsidRPr="004F08F7">
              <w:t>Safely move loads and dangerous goods</w:t>
            </w:r>
          </w:p>
        </w:tc>
      </w:tr>
      <w:tr w:rsidR="00394969" w:rsidRPr="00D54D06" w14:paraId="208D400D" w14:textId="77777777" w:rsidTr="00FF283F">
        <w:tc>
          <w:tcPr>
            <w:tcW w:w="1563" w:type="dxa"/>
          </w:tcPr>
          <w:p w14:paraId="2644CCEA" w14:textId="77777777" w:rsidR="00394969" w:rsidRPr="004F08F7" w:rsidRDefault="00394969" w:rsidP="00FF283F">
            <w:r w:rsidRPr="004F08F7">
              <w:t>CPPFES2047</w:t>
            </w:r>
          </w:p>
        </w:tc>
        <w:tc>
          <w:tcPr>
            <w:tcW w:w="7930" w:type="dxa"/>
          </w:tcPr>
          <w:p w14:paraId="3875F6E3" w14:textId="77777777" w:rsidR="00394969" w:rsidRPr="004F08F7" w:rsidRDefault="00394969" w:rsidP="00FF283F">
            <w:r w:rsidRPr="004F08F7">
              <w:t>Inspect and test control and indicating equipment</w:t>
            </w:r>
          </w:p>
        </w:tc>
      </w:tr>
      <w:tr w:rsidR="00394969" w:rsidRPr="00D54D06" w14:paraId="513E0343" w14:textId="77777777" w:rsidTr="00FF283F">
        <w:tc>
          <w:tcPr>
            <w:tcW w:w="1563" w:type="dxa"/>
          </w:tcPr>
          <w:p w14:paraId="65DF078A" w14:textId="3DB44756" w:rsidR="00394969" w:rsidRPr="004F08F7" w:rsidRDefault="00394969" w:rsidP="006A0976">
            <w:r w:rsidRPr="000151A8">
              <w:t>CPPFES3024</w:t>
            </w:r>
          </w:p>
        </w:tc>
        <w:tc>
          <w:tcPr>
            <w:tcW w:w="7930" w:type="dxa"/>
          </w:tcPr>
          <w:p w14:paraId="38312AA6" w14:textId="77777777" w:rsidR="00394969" w:rsidRPr="004F08F7" w:rsidRDefault="00394969" w:rsidP="006A0976">
            <w:r w:rsidRPr="000151A8">
              <w:t>Inspect and maintain portable foam-generating equipment</w:t>
            </w:r>
          </w:p>
        </w:tc>
      </w:tr>
      <w:tr w:rsidR="00394969" w:rsidRPr="00D54D06" w14:paraId="2130D396" w14:textId="77777777" w:rsidTr="00FF283F">
        <w:tc>
          <w:tcPr>
            <w:tcW w:w="1563" w:type="dxa"/>
          </w:tcPr>
          <w:p w14:paraId="530FFCD4" w14:textId="48217619" w:rsidR="00394969" w:rsidRPr="004F08F7" w:rsidRDefault="00394969" w:rsidP="006A0976">
            <w:r w:rsidRPr="000151A8">
              <w:t>CPPFES3032</w:t>
            </w:r>
          </w:p>
        </w:tc>
        <w:tc>
          <w:tcPr>
            <w:tcW w:w="7930" w:type="dxa"/>
          </w:tcPr>
          <w:p w14:paraId="2763228A" w14:textId="77777777" w:rsidR="00394969" w:rsidRPr="004F08F7" w:rsidRDefault="00394969" w:rsidP="006A0976">
            <w:r w:rsidRPr="000151A8">
              <w:t>Conduct enclosure integrity testing</w:t>
            </w:r>
          </w:p>
        </w:tc>
      </w:tr>
      <w:tr w:rsidR="00394969" w:rsidRPr="00D54D06" w14:paraId="1FAB0689" w14:textId="77777777" w:rsidTr="00FF283F">
        <w:tc>
          <w:tcPr>
            <w:tcW w:w="1563" w:type="dxa"/>
          </w:tcPr>
          <w:p w14:paraId="6931F7F5" w14:textId="46BC7E57" w:rsidR="00394969" w:rsidRPr="004F08F7" w:rsidRDefault="00394969" w:rsidP="006A0976">
            <w:r w:rsidRPr="000151A8">
              <w:t>CPPFES3038</w:t>
            </w:r>
          </w:p>
        </w:tc>
        <w:tc>
          <w:tcPr>
            <w:tcW w:w="7930" w:type="dxa"/>
          </w:tcPr>
          <w:p w14:paraId="3D02635F" w14:textId="77777777" w:rsidR="00394969" w:rsidRPr="004F08F7" w:rsidRDefault="00394969" w:rsidP="006A0976">
            <w:r w:rsidRPr="000151A8">
              <w:t>Inspect, test and maintain portable fire monitors</w:t>
            </w:r>
          </w:p>
        </w:tc>
      </w:tr>
      <w:tr w:rsidR="00394969" w:rsidRPr="00D54D06" w14:paraId="24004C0F" w14:textId="77777777" w:rsidTr="00FF283F">
        <w:tc>
          <w:tcPr>
            <w:tcW w:w="1563" w:type="dxa"/>
          </w:tcPr>
          <w:p w14:paraId="7F267322" w14:textId="4847A09A" w:rsidR="00394969" w:rsidRPr="004F08F7" w:rsidRDefault="00394969" w:rsidP="006A0976">
            <w:r w:rsidRPr="000151A8">
              <w:t>CPPFES3040</w:t>
            </w:r>
          </w:p>
        </w:tc>
        <w:tc>
          <w:tcPr>
            <w:tcW w:w="7930" w:type="dxa"/>
          </w:tcPr>
          <w:p w14:paraId="011BD67E" w14:textId="77777777" w:rsidR="00394969" w:rsidRPr="004F08F7" w:rsidRDefault="00394969" w:rsidP="006A0976">
            <w:r w:rsidRPr="000151A8">
              <w:t>Install passive fire and smoke containment systems</w:t>
            </w:r>
          </w:p>
        </w:tc>
      </w:tr>
      <w:tr w:rsidR="00394969" w:rsidRPr="00D54D06" w14:paraId="2E140492" w14:textId="77777777" w:rsidTr="00FF283F">
        <w:tc>
          <w:tcPr>
            <w:tcW w:w="1563" w:type="dxa"/>
          </w:tcPr>
          <w:p w14:paraId="3A729C57" w14:textId="7EE91B58" w:rsidR="00394969" w:rsidRPr="004F08F7" w:rsidRDefault="00394969" w:rsidP="006A0976">
            <w:r w:rsidRPr="000151A8">
              <w:t>CPPFES3042</w:t>
            </w:r>
          </w:p>
        </w:tc>
        <w:tc>
          <w:tcPr>
            <w:tcW w:w="7930" w:type="dxa"/>
          </w:tcPr>
          <w:p w14:paraId="59E4801F" w14:textId="77777777" w:rsidR="00394969" w:rsidRPr="004F08F7" w:rsidRDefault="00394969" w:rsidP="006A0976">
            <w:r w:rsidRPr="000151A8">
              <w:t>Install and commission pre-engineered fire-suppression systems</w:t>
            </w:r>
          </w:p>
        </w:tc>
      </w:tr>
      <w:tr w:rsidR="00394969" w:rsidRPr="00D54D06" w14:paraId="470E65E9" w14:textId="77777777" w:rsidTr="00FF283F">
        <w:tc>
          <w:tcPr>
            <w:tcW w:w="1563" w:type="dxa"/>
          </w:tcPr>
          <w:p w14:paraId="510030AD" w14:textId="4FCAF248" w:rsidR="00394969" w:rsidRPr="004F08F7" w:rsidRDefault="00394969" w:rsidP="006A0976">
            <w:r w:rsidRPr="000151A8">
              <w:t>CPPFES3044</w:t>
            </w:r>
          </w:p>
        </w:tc>
        <w:tc>
          <w:tcPr>
            <w:tcW w:w="7930" w:type="dxa"/>
          </w:tcPr>
          <w:p w14:paraId="0F583C4F" w14:textId="77777777" w:rsidR="00394969" w:rsidRPr="004F08F7" w:rsidRDefault="00394969" w:rsidP="006A0976">
            <w:r w:rsidRPr="000151A8">
              <w:t>Interpret installation requirements for gaseous fire-suppression systems</w:t>
            </w:r>
          </w:p>
        </w:tc>
      </w:tr>
      <w:tr w:rsidR="00394969" w:rsidRPr="00D54D06" w14:paraId="4478DD0F" w14:textId="77777777" w:rsidTr="00FF283F">
        <w:tc>
          <w:tcPr>
            <w:tcW w:w="1563" w:type="dxa"/>
          </w:tcPr>
          <w:p w14:paraId="0E6872DD" w14:textId="37BDA2FA" w:rsidR="00394969" w:rsidRPr="004F08F7" w:rsidRDefault="00394969" w:rsidP="006A0976">
            <w:r w:rsidRPr="000151A8">
              <w:t>CPPFES3045</w:t>
            </w:r>
          </w:p>
        </w:tc>
        <w:tc>
          <w:tcPr>
            <w:tcW w:w="7930" w:type="dxa"/>
          </w:tcPr>
          <w:p w14:paraId="580B4C3E" w14:textId="77777777" w:rsidR="00394969" w:rsidRPr="004F08F7" w:rsidRDefault="00394969" w:rsidP="006A0976">
            <w:r w:rsidRPr="000151A8">
              <w:t>Install gaseous agent containers and actuators</w:t>
            </w:r>
          </w:p>
        </w:tc>
      </w:tr>
      <w:tr w:rsidR="00394969" w:rsidRPr="00D54D06" w14:paraId="5AA4A313" w14:textId="77777777" w:rsidTr="00FF283F">
        <w:tc>
          <w:tcPr>
            <w:tcW w:w="1563" w:type="dxa"/>
          </w:tcPr>
          <w:p w14:paraId="6BC56FEC" w14:textId="01221D1A" w:rsidR="00394969" w:rsidRPr="004F08F7" w:rsidRDefault="00394969" w:rsidP="006A0976">
            <w:r w:rsidRPr="000151A8">
              <w:t>CPPFES3046</w:t>
            </w:r>
          </w:p>
        </w:tc>
        <w:tc>
          <w:tcPr>
            <w:tcW w:w="7930" w:type="dxa"/>
          </w:tcPr>
          <w:p w14:paraId="1063AB05" w14:textId="77777777" w:rsidR="00394969" w:rsidRPr="004F08F7" w:rsidRDefault="00394969" w:rsidP="006A0976">
            <w:r w:rsidRPr="000151A8">
              <w:t>Decommission gaseous agent containers and actuators</w:t>
            </w:r>
          </w:p>
        </w:tc>
      </w:tr>
      <w:tr w:rsidR="00F71E62" w:rsidRPr="00D54D06" w14:paraId="459A7E8A" w14:textId="77777777" w:rsidTr="00FF283F">
        <w:tc>
          <w:tcPr>
            <w:tcW w:w="1563" w:type="dxa"/>
          </w:tcPr>
          <w:p w14:paraId="2DA9455F" w14:textId="16C3F3A9" w:rsidR="00F71E62" w:rsidRPr="000151A8" w:rsidRDefault="00F71E62" w:rsidP="00F71E62">
            <w:r w:rsidRPr="000151A8">
              <w:t>CPCPFS30</w:t>
            </w:r>
            <w:r>
              <w:t>4</w:t>
            </w:r>
            <w:r w:rsidRPr="000151A8">
              <w:t>2</w:t>
            </w:r>
            <w:r>
              <w:t>*</w:t>
            </w:r>
          </w:p>
        </w:tc>
        <w:tc>
          <w:tcPr>
            <w:tcW w:w="7930" w:type="dxa"/>
          </w:tcPr>
          <w:p w14:paraId="51D7245A" w14:textId="434D7430" w:rsidR="00F71E62" w:rsidRPr="000151A8" w:rsidRDefault="00F71E62" w:rsidP="00F71E62">
            <w:r w:rsidRPr="000151A8">
              <w:t>Conduct annual functional testing of complex water-based fire-suppression systems</w:t>
            </w:r>
          </w:p>
        </w:tc>
      </w:tr>
      <w:tr w:rsidR="00F71E62" w:rsidRPr="00D54D06" w14:paraId="7754B8B4" w14:textId="77777777" w:rsidTr="00FF283F">
        <w:tc>
          <w:tcPr>
            <w:tcW w:w="1563" w:type="dxa"/>
          </w:tcPr>
          <w:p w14:paraId="061E83F8" w14:textId="76676AA4" w:rsidR="00F71E62" w:rsidRPr="000151A8" w:rsidRDefault="00F71E62" w:rsidP="00F71E62">
            <w:r w:rsidRPr="000151A8">
              <w:t>CPCPFS30</w:t>
            </w:r>
            <w:r>
              <w:t>4</w:t>
            </w:r>
            <w:r w:rsidRPr="000151A8">
              <w:t>3</w:t>
            </w:r>
            <w:r>
              <w:t>*</w:t>
            </w:r>
          </w:p>
        </w:tc>
        <w:tc>
          <w:tcPr>
            <w:tcW w:w="7930" w:type="dxa"/>
          </w:tcPr>
          <w:p w14:paraId="5BB985F4" w14:textId="7FD12D4E" w:rsidR="00F71E62" w:rsidRPr="000151A8" w:rsidRDefault="00F71E62" w:rsidP="00F71E62">
            <w:r w:rsidRPr="000151A8">
              <w:t>Conduct functional water flow testing</w:t>
            </w:r>
          </w:p>
        </w:tc>
      </w:tr>
    </w:tbl>
    <w:p w14:paraId="5D5D73F5" w14:textId="4273F4C2" w:rsidR="0053386E" w:rsidRPr="00D54D06" w:rsidRDefault="0053386E" w:rsidP="0053386E">
      <w:pPr>
        <w:keepNext/>
        <w:spacing w:before="120"/>
        <w:rPr>
          <w:b/>
        </w:rPr>
      </w:pPr>
      <w:r>
        <w:rPr>
          <w:b/>
        </w:rPr>
        <w:t>Group B: General electives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4"/>
        <w:gridCol w:w="7919"/>
      </w:tblGrid>
      <w:tr w:rsidR="00BD51BF" w:rsidRPr="00D54D06" w14:paraId="12280EFD" w14:textId="77777777" w:rsidTr="00B35C1E">
        <w:tc>
          <w:tcPr>
            <w:tcW w:w="1574" w:type="dxa"/>
          </w:tcPr>
          <w:p w14:paraId="195E842F" w14:textId="1F7BC3FC" w:rsidR="00BD51BF" w:rsidRPr="000151A8" w:rsidRDefault="00BD51BF" w:rsidP="00BD51BF">
            <w:r w:rsidRPr="000151A8">
              <w:t>BSB</w:t>
            </w:r>
            <w:r>
              <w:t>HRM413</w:t>
            </w:r>
          </w:p>
        </w:tc>
        <w:tc>
          <w:tcPr>
            <w:tcW w:w="7919" w:type="dxa"/>
          </w:tcPr>
          <w:p w14:paraId="5A01CD26" w14:textId="6A1A56DD" w:rsidR="00BD51BF" w:rsidRPr="000151A8" w:rsidRDefault="00BD51BF" w:rsidP="00BD51BF">
            <w:r w:rsidRPr="000151A8">
              <w:t xml:space="preserve">Support </w:t>
            </w:r>
            <w:r>
              <w:t>the learning and development of teams and individuals</w:t>
            </w:r>
          </w:p>
        </w:tc>
      </w:tr>
      <w:tr w:rsidR="00BD51BF" w:rsidRPr="00D54D06" w14:paraId="56396F85" w14:textId="77777777" w:rsidTr="00B35C1E">
        <w:tc>
          <w:tcPr>
            <w:tcW w:w="1574" w:type="dxa"/>
          </w:tcPr>
          <w:p w14:paraId="11C469A6" w14:textId="38B2F5FA" w:rsidR="00BD51BF" w:rsidRPr="000151A8" w:rsidRDefault="00BD51BF" w:rsidP="00BD51BF">
            <w:r w:rsidRPr="000151A8">
              <w:t>BSB</w:t>
            </w:r>
            <w:r>
              <w:t>LDR301</w:t>
            </w:r>
          </w:p>
        </w:tc>
        <w:tc>
          <w:tcPr>
            <w:tcW w:w="7919" w:type="dxa"/>
          </w:tcPr>
          <w:p w14:paraId="3715B123" w14:textId="4493460C" w:rsidR="00BD51BF" w:rsidRPr="000151A8" w:rsidRDefault="00BD51BF" w:rsidP="00BD51BF">
            <w:r>
              <w:t>Support</w:t>
            </w:r>
            <w:r w:rsidRPr="000151A8">
              <w:t xml:space="preserve"> effective workplace relationships</w:t>
            </w:r>
          </w:p>
        </w:tc>
      </w:tr>
      <w:tr w:rsidR="00BD51BF" w:rsidRPr="00D54D06" w14:paraId="03ED014D" w14:textId="77777777" w:rsidTr="00B35C1E">
        <w:tc>
          <w:tcPr>
            <w:tcW w:w="1574" w:type="dxa"/>
          </w:tcPr>
          <w:p w14:paraId="1D84A20A" w14:textId="5A52DCA2" w:rsidR="00BD51BF" w:rsidRPr="004F08F7" w:rsidRDefault="00BD51BF" w:rsidP="00BD51BF">
            <w:r w:rsidRPr="000151A8">
              <w:t>BSB</w:t>
            </w:r>
            <w:r>
              <w:t>OPS301</w:t>
            </w:r>
          </w:p>
        </w:tc>
        <w:tc>
          <w:tcPr>
            <w:tcW w:w="7919" w:type="dxa"/>
          </w:tcPr>
          <w:p w14:paraId="04491D12" w14:textId="37E71CBA" w:rsidR="00BD51BF" w:rsidRPr="004F08F7" w:rsidRDefault="00BD51BF" w:rsidP="00BD51BF">
            <w:r>
              <w:t>Maintain business resources</w:t>
            </w:r>
          </w:p>
        </w:tc>
      </w:tr>
      <w:tr w:rsidR="00BD51BF" w:rsidRPr="00D54D06" w14:paraId="59917827" w14:textId="77777777" w:rsidTr="00B35C1E">
        <w:tc>
          <w:tcPr>
            <w:tcW w:w="1574" w:type="dxa"/>
          </w:tcPr>
          <w:p w14:paraId="36579E92" w14:textId="06187F79" w:rsidR="00BD51BF" w:rsidRPr="004F08F7" w:rsidRDefault="00BD51BF" w:rsidP="00BD51BF">
            <w:r w:rsidRPr="000151A8">
              <w:t>BSB</w:t>
            </w:r>
            <w:r>
              <w:t>OPS304</w:t>
            </w:r>
          </w:p>
        </w:tc>
        <w:tc>
          <w:tcPr>
            <w:tcW w:w="7919" w:type="dxa"/>
          </w:tcPr>
          <w:p w14:paraId="5A6B1856" w14:textId="74DF09F7" w:rsidR="00BD51BF" w:rsidRPr="004F08F7" w:rsidRDefault="00BD51BF" w:rsidP="00BD51BF">
            <w:r w:rsidRPr="000151A8">
              <w:t>Deliver and monitor a service to customers</w:t>
            </w:r>
          </w:p>
        </w:tc>
      </w:tr>
      <w:tr w:rsidR="00BD51BF" w:rsidRPr="00D54D06" w14:paraId="3D04C553" w14:textId="77777777" w:rsidTr="00B35C1E">
        <w:tc>
          <w:tcPr>
            <w:tcW w:w="1574" w:type="dxa"/>
          </w:tcPr>
          <w:p w14:paraId="3CBB5300" w14:textId="3E63F5FC" w:rsidR="00BD51BF" w:rsidRPr="00D54D06" w:rsidRDefault="00BD51BF" w:rsidP="00BD51BF">
            <w:r w:rsidRPr="000151A8">
              <w:t>BSB</w:t>
            </w:r>
            <w:r>
              <w:t>STR301</w:t>
            </w:r>
          </w:p>
        </w:tc>
        <w:tc>
          <w:tcPr>
            <w:tcW w:w="7919" w:type="dxa"/>
          </w:tcPr>
          <w:p w14:paraId="796BF0E0" w14:textId="1BE08CEE" w:rsidR="00BD51BF" w:rsidRPr="00D54D06" w:rsidRDefault="00BD51BF" w:rsidP="00BD51BF">
            <w:r>
              <w:t xml:space="preserve">Contribute to </w:t>
            </w:r>
            <w:r w:rsidRPr="000151A8">
              <w:t>continuous improvement</w:t>
            </w:r>
          </w:p>
        </w:tc>
      </w:tr>
      <w:tr w:rsidR="00BD51BF" w:rsidRPr="00D54D06" w14:paraId="4EAAB785" w14:textId="77777777" w:rsidTr="00B35C1E">
        <w:tc>
          <w:tcPr>
            <w:tcW w:w="1574" w:type="dxa"/>
          </w:tcPr>
          <w:p w14:paraId="7B12D60B" w14:textId="7E5FE0A4" w:rsidR="00BD51BF" w:rsidRPr="00D54D06" w:rsidRDefault="00BD51BF" w:rsidP="00BD51BF">
            <w:r w:rsidRPr="000151A8">
              <w:t>BSBWHS301</w:t>
            </w:r>
          </w:p>
        </w:tc>
        <w:tc>
          <w:tcPr>
            <w:tcW w:w="7919" w:type="dxa"/>
          </w:tcPr>
          <w:p w14:paraId="1CAA5C7C" w14:textId="3F39DCB4" w:rsidR="00BD51BF" w:rsidRPr="00D54D06" w:rsidRDefault="00BD51BF" w:rsidP="00BD51BF">
            <w:r w:rsidRPr="000151A8">
              <w:t>Maintain workplace safety</w:t>
            </w:r>
          </w:p>
        </w:tc>
      </w:tr>
      <w:tr w:rsidR="00BD51BF" w:rsidRPr="00D54D06" w14:paraId="5A078FA9" w14:textId="77777777" w:rsidTr="00B35C1E">
        <w:tc>
          <w:tcPr>
            <w:tcW w:w="1574" w:type="dxa"/>
          </w:tcPr>
          <w:p w14:paraId="753540DA" w14:textId="40D9F4B8" w:rsidR="00BD51BF" w:rsidRPr="00D54D06" w:rsidRDefault="00BD51BF" w:rsidP="00BD51BF">
            <w:r w:rsidRPr="000151A8">
              <w:t>BSB</w:t>
            </w:r>
            <w:r>
              <w:t>XTW</w:t>
            </w:r>
          </w:p>
        </w:tc>
        <w:tc>
          <w:tcPr>
            <w:tcW w:w="7919" w:type="dxa"/>
          </w:tcPr>
          <w:p w14:paraId="1705F152" w14:textId="71C5FB13" w:rsidR="00BD51BF" w:rsidRPr="00D54D06" w:rsidRDefault="00BD51BF" w:rsidP="00BD51BF">
            <w:r>
              <w:t>Work in a Team</w:t>
            </w:r>
          </w:p>
        </w:tc>
      </w:tr>
      <w:tr w:rsidR="00BD51BF" w:rsidRPr="00D54D06" w14:paraId="76B77A43" w14:textId="77777777" w:rsidTr="00B35C1E">
        <w:tc>
          <w:tcPr>
            <w:tcW w:w="1574" w:type="dxa"/>
          </w:tcPr>
          <w:p w14:paraId="3942FAD1" w14:textId="77777777" w:rsidR="00BD51BF" w:rsidRPr="004F08F7" w:rsidRDefault="00BD51BF" w:rsidP="00BD51BF">
            <w:r>
              <w:t>HLTAID003</w:t>
            </w:r>
          </w:p>
        </w:tc>
        <w:tc>
          <w:tcPr>
            <w:tcW w:w="7919" w:type="dxa"/>
          </w:tcPr>
          <w:p w14:paraId="599CFD8A" w14:textId="77777777" w:rsidR="00BD51BF" w:rsidRPr="004F08F7" w:rsidRDefault="00BD51BF" w:rsidP="00BD51BF">
            <w:r>
              <w:t>Provide first aid</w:t>
            </w:r>
          </w:p>
        </w:tc>
      </w:tr>
      <w:tr w:rsidR="00BD51BF" w:rsidRPr="00D54D06" w14:paraId="5A3C916C" w14:textId="77777777" w:rsidTr="00B35C1E">
        <w:tc>
          <w:tcPr>
            <w:tcW w:w="1574" w:type="dxa"/>
          </w:tcPr>
          <w:p w14:paraId="77DA4217" w14:textId="77777777" w:rsidR="00BD51BF" w:rsidRPr="004F08F7" w:rsidRDefault="00BD51BF" w:rsidP="00BD51BF">
            <w:r w:rsidRPr="000151A8">
              <w:t>TAEDEL301</w:t>
            </w:r>
          </w:p>
        </w:tc>
        <w:tc>
          <w:tcPr>
            <w:tcW w:w="7919" w:type="dxa"/>
          </w:tcPr>
          <w:p w14:paraId="0B265FF9" w14:textId="77777777" w:rsidR="00BD51BF" w:rsidRPr="004F08F7" w:rsidRDefault="00BD51BF" w:rsidP="00BD51BF">
            <w:r w:rsidRPr="000151A8">
              <w:t>Provide work skill instruction</w:t>
            </w:r>
          </w:p>
        </w:tc>
      </w:tr>
    </w:tbl>
    <w:p w14:paraId="1942425B" w14:textId="45D724D7" w:rsidR="00612E2D" w:rsidRPr="00D54D06" w:rsidRDefault="00AA0BA9" w:rsidP="00CB54F9">
      <w:pPr>
        <w:keepNext/>
        <w:spacing w:before="120"/>
        <w:rPr>
          <w:b/>
          <w:bCs/>
        </w:rPr>
      </w:pPr>
      <w:r w:rsidRPr="00D54D06">
        <w:rPr>
          <w:b/>
          <w:bCs/>
        </w:rPr>
        <w:t>Qualification mapping information</w:t>
      </w:r>
    </w:p>
    <w:p w14:paraId="1DF865D1" w14:textId="2A999FD7" w:rsidR="008710D4" w:rsidRPr="00D54D06" w:rsidRDefault="00AA0BA9" w:rsidP="00612E2D">
      <w:pPr>
        <w:rPr>
          <w:b/>
          <w:bCs/>
        </w:rPr>
      </w:pPr>
      <w:r w:rsidRPr="00D54D06">
        <w:t xml:space="preserve">Supersedes and is equivalent to </w:t>
      </w:r>
      <w:r w:rsidR="00740002">
        <w:t>CPP</w:t>
      </w:r>
      <w:r w:rsidR="009A2A87">
        <w:t>3</w:t>
      </w:r>
      <w:r w:rsidR="00740002">
        <w:t>0</w:t>
      </w:r>
      <w:r w:rsidR="009A2A87">
        <w:t>8</w:t>
      </w:r>
      <w:r w:rsidR="00740002">
        <w:t xml:space="preserve">11 </w:t>
      </w:r>
      <w:r w:rsidR="00DA01BE" w:rsidRPr="00D54D06">
        <w:t xml:space="preserve">Certificate </w:t>
      </w:r>
      <w:r w:rsidR="009A2A87">
        <w:t>I</w:t>
      </w:r>
      <w:r w:rsidR="00DA01BE" w:rsidRPr="00D54D06">
        <w:t xml:space="preserve">II in </w:t>
      </w:r>
      <w:r w:rsidR="00740002">
        <w:t>Fire Protection Inspection and Testing</w:t>
      </w:r>
      <w:r w:rsidRPr="00D54D06">
        <w:t>.</w:t>
      </w:r>
    </w:p>
    <w:p w14:paraId="5D66C4B6" w14:textId="77777777" w:rsidR="00612E2D" w:rsidRPr="00D54D06" w:rsidRDefault="00AA0BA9" w:rsidP="00612E2D">
      <w:pPr>
        <w:rPr>
          <w:b/>
          <w:bCs/>
          <w:sz w:val="21"/>
          <w:szCs w:val="21"/>
        </w:rPr>
      </w:pPr>
      <w:bookmarkStart w:id="5" w:name="O_661075"/>
      <w:bookmarkEnd w:id="5"/>
      <w:r w:rsidRPr="00D54D06">
        <w:rPr>
          <w:b/>
          <w:bCs/>
          <w:sz w:val="21"/>
          <w:szCs w:val="21"/>
        </w:rPr>
        <w:lastRenderedPageBreak/>
        <w:t>Links</w:t>
      </w:r>
    </w:p>
    <w:p w14:paraId="4A956663" w14:textId="133B3979" w:rsidR="00612E2D" w:rsidRPr="00342D03" w:rsidRDefault="00612E2D" w:rsidP="00612E2D">
      <w:pPr>
        <w:pStyle w:val="BodyText"/>
      </w:pPr>
      <w:r w:rsidRPr="00D54D06">
        <w:t>An Implementation Guide to this Training Package is available at:</w:t>
      </w:r>
      <w:r w:rsidR="00DA01BE" w:rsidRPr="00D54D06">
        <w:t xml:space="preserve">  </w:t>
      </w:r>
      <w:hyperlink r:id="rId8" w:history="1">
        <w:r w:rsidR="006A7A94" w:rsidRPr="00092B23">
          <w:rPr>
            <w:rStyle w:val="Hyperlink"/>
            <w:rFonts w:cstheme="minorHAnsi"/>
          </w:rPr>
          <w:t>https://vetnet.gov.au/Pages/TrainingDocs.aspx?q=6f3f9672-30e8-4835-b348-205dfcf13d9b</w:t>
        </w:r>
      </w:hyperlink>
      <w:r w:rsidR="006A7A94">
        <w:rPr>
          <w:rStyle w:val="Hyperlink"/>
          <w:rFonts w:cstheme="minorHAnsi"/>
          <w:color w:val="000000" w:themeColor="text1"/>
        </w:rPr>
        <w:t xml:space="preserve"> </w:t>
      </w:r>
    </w:p>
    <w:sectPr w:rsidR="00612E2D" w:rsidRPr="00342D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6EA8B" w14:textId="77777777" w:rsidR="009128E5" w:rsidRDefault="009128E5" w:rsidP="00B26C2F">
      <w:pPr>
        <w:spacing w:after="0" w:line="240" w:lineRule="auto"/>
      </w:pPr>
      <w:r>
        <w:separator/>
      </w:r>
    </w:p>
  </w:endnote>
  <w:endnote w:type="continuationSeparator" w:id="0">
    <w:p w14:paraId="37DBCC6B" w14:textId="77777777" w:rsidR="009128E5" w:rsidRDefault="009128E5" w:rsidP="00B2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0890F" w14:textId="77777777" w:rsidR="003821A9" w:rsidRDefault="00382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0088" w14:textId="77777777" w:rsidR="003821A9" w:rsidRDefault="003821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BC384" w14:textId="77777777" w:rsidR="003821A9" w:rsidRDefault="00382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498A8" w14:textId="77777777" w:rsidR="009128E5" w:rsidRDefault="009128E5" w:rsidP="00B26C2F">
      <w:pPr>
        <w:spacing w:after="0" w:line="240" w:lineRule="auto"/>
      </w:pPr>
      <w:r>
        <w:separator/>
      </w:r>
    </w:p>
  </w:footnote>
  <w:footnote w:type="continuationSeparator" w:id="0">
    <w:p w14:paraId="41AC00B4" w14:textId="77777777" w:rsidR="009128E5" w:rsidRDefault="009128E5" w:rsidP="00B26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45D9B" w14:textId="77777777" w:rsidR="003821A9" w:rsidRDefault="00382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BD70B" w14:textId="187A4C83" w:rsidR="00B26C2F" w:rsidRDefault="00B26C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7D6DC" w14:textId="77777777" w:rsidR="003821A9" w:rsidRDefault="003821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B17AA"/>
    <w:multiLevelType w:val="hybridMultilevel"/>
    <w:tmpl w:val="F7B8D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91E4C"/>
    <w:multiLevelType w:val="hybridMultilevel"/>
    <w:tmpl w:val="25E4E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B1987"/>
    <w:multiLevelType w:val="hybridMultilevel"/>
    <w:tmpl w:val="EFC4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4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5" w15:restartNumberingAfterBreak="0">
    <w:nsid w:val="4EC80D9E"/>
    <w:multiLevelType w:val="hybridMultilevel"/>
    <w:tmpl w:val="947C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221B3"/>
    <w:multiLevelType w:val="hybridMultilevel"/>
    <w:tmpl w:val="0EB2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A9"/>
    <w:rsid w:val="00014F5E"/>
    <w:rsid w:val="00016A14"/>
    <w:rsid w:val="0002005D"/>
    <w:rsid w:val="000230B1"/>
    <w:rsid w:val="00023E86"/>
    <w:rsid w:val="0003443F"/>
    <w:rsid w:val="00043C8C"/>
    <w:rsid w:val="00063A4F"/>
    <w:rsid w:val="00065594"/>
    <w:rsid w:val="000663EE"/>
    <w:rsid w:val="00067200"/>
    <w:rsid w:val="00073597"/>
    <w:rsid w:val="000855AE"/>
    <w:rsid w:val="00090E4F"/>
    <w:rsid w:val="00093556"/>
    <w:rsid w:val="00096416"/>
    <w:rsid w:val="000A2C79"/>
    <w:rsid w:val="000B56FB"/>
    <w:rsid w:val="000B6792"/>
    <w:rsid w:val="000C36F5"/>
    <w:rsid w:val="000C3CAC"/>
    <w:rsid w:val="000D1203"/>
    <w:rsid w:val="000D35EA"/>
    <w:rsid w:val="000D3D6E"/>
    <w:rsid w:val="000D61F7"/>
    <w:rsid w:val="000F3CDE"/>
    <w:rsid w:val="000F61DC"/>
    <w:rsid w:val="00101FAC"/>
    <w:rsid w:val="001157D2"/>
    <w:rsid w:val="00117CAC"/>
    <w:rsid w:val="00125D5C"/>
    <w:rsid w:val="00126C46"/>
    <w:rsid w:val="00131BFF"/>
    <w:rsid w:val="00145EC0"/>
    <w:rsid w:val="00152DD6"/>
    <w:rsid w:val="00154F65"/>
    <w:rsid w:val="00167782"/>
    <w:rsid w:val="00174525"/>
    <w:rsid w:val="00176835"/>
    <w:rsid w:val="001958B6"/>
    <w:rsid w:val="001A1534"/>
    <w:rsid w:val="001B0B62"/>
    <w:rsid w:val="001B0DE9"/>
    <w:rsid w:val="001C3869"/>
    <w:rsid w:val="001D0CFD"/>
    <w:rsid w:val="001D21EC"/>
    <w:rsid w:val="001E085A"/>
    <w:rsid w:val="001E464D"/>
    <w:rsid w:val="001E773F"/>
    <w:rsid w:val="001F42E9"/>
    <w:rsid w:val="00214CA8"/>
    <w:rsid w:val="002214A9"/>
    <w:rsid w:val="00224930"/>
    <w:rsid w:val="0023356A"/>
    <w:rsid w:val="00234F9C"/>
    <w:rsid w:val="00241A76"/>
    <w:rsid w:val="00244E02"/>
    <w:rsid w:val="002461F1"/>
    <w:rsid w:val="0025022E"/>
    <w:rsid w:val="00256FF2"/>
    <w:rsid w:val="00275118"/>
    <w:rsid w:val="00291C77"/>
    <w:rsid w:val="00295A0A"/>
    <w:rsid w:val="002964AB"/>
    <w:rsid w:val="00297644"/>
    <w:rsid w:val="002A4CCA"/>
    <w:rsid w:val="002B20CA"/>
    <w:rsid w:val="002B7A54"/>
    <w:rsid w:val="002C7D03"/>
    <w:rsid w:val="00300FAF"/>
    <w:rsid w:val="00305B78"/>
    <w:rsid w:val="00315C9D"/>
    <w:rsid w:val="00330A15"/>
    <w:rsid w:val="0033132A"/>
    <w:rsid w:val="00332BBB"/>
    <w:rsid w:val="003366AB"/>
    <w:rsid w:val="0034549D"/>
    <w:rsid w:val="00347495"/>
    <w:rsid w:val="003508C4"/>
    <w:rsid w:val="00353472"/>
    <w:rsid w:val="00361F66"/>
    <w:rsid w:val="003647FF"/>
    <w:rsid w:val="003821A9"/>
    <w:rsid w:val="00394969"/>
    <w:rsid w:val="003A26F0"/>
    <w:rsid w:val="003A3758"/>
    <w:rsid w:val="003A59C6"/>
    <w:rsid w:val="003B2E3A"/>
    <w:rsid w:val="003B6B4E"/>
    <w:rsid w:val="003C5FE7"/>
    <w:rsid w:val="003E252A"/>
    <w:rsid w:val="003F15B7"/>
    <w:rsid w:val="003F598B"/>
    <w:rsid w:val="003F5AD6"/>
    <w:rsid w:val="00414B7A"/>
    <w:rsid w:val="00415E7C"/>
    <w:rsid w:val="00441D12"/>
    <w:rsid w:val="00442B5E"/>
    <w:rsid w:val="00443B9D"/>
    <w:rsid w:val="00444CF5"/>
    <w:rsid w:val="004517A1"/>
    <w:rsid w:val="004646AD"/>
    <w:rsid w:val="00471F5D"/>
    <w:rsid w:val="0047209C"/>
    <w:rsid w:val="004933A4"/>
    <w:rsid w:val="0049719B"/>
    <w:rsid w:val="004A759A"/>
    <w:rsid w:val="004B2329"/>
    <w:rsid w:val="004C078E"/>
    <w:rsid w:val="004D1A3E"/>
    <w:rsid w:val="004D1C54"/>
    <w:rsid w:val="004E1B2B"/>
    <w:rsid w:val="004E2DF4"/>
    <w:rsid w:val="004F5211"/>
    <w:rsid w:val="00503E19"/>
    <w:rsid w:val="005044FA"/>
    <w:rsid w:val="0053341E"/>
    <w:rsid w:val="0053386E"/>
    <w:rsid w:val="0053760F"/>
    <w:rsid w:val="00544D37"/>
    <w:rsid w:val="00546A95"/>
    <w:rsid w:val="00546FFF"/>
    <w:rsid w:val="00555AF7"/>
    <w:rsid w:val="00556807"/>
    <w:rsid w:val="00562E22"/>
    <w:rsid w:val="00586961"/>
    <w:rsid w:val="00590D96"/>
    <w:rsid w:val="005A4B48"/>
    <w:rsid w:val="005A69B9"/>
    <w:rsid w:val="005C6AF1"/>
    <w:rsid w:val="005D44C0"/>
    <w:rsid w:val="005D5D68"/>
    <w:rsid w:val="005D5EA2"/>
    <w:rsid w:val="005E0B84"/>
    <w:rsid w:val="005F4E66"/>
    <w:rsid w:val="006021A8"/>
    <w:rsid w:val="00612E2D"/>
    <w:rsid w:val="00613D36"/>
    <w:rsid w:val="0061722E"/>
    <w:rsid w:val="00622403"/>
    <w:rsid w:val="00662C07"/>
    <w:rsid w:val="00663843"/>
    <w:rsid w:val="0067115A"/>
    <w:rsid w:val="006773E5"/>
    <w:rsid w:val="00696BED"/>
    <w:rsid w:val="006A037A"/>
    <w:rsid w:val="006A0976"/>
    <w:rsid w:val="006A7A94"/>
    <w:rsid w:val="006B6AAA"/>
    <w:rsid w:val="006C1E5D"/>
    <w:rsid w:val="006C350A"/>
    <w:rsid w:val="006D159E"/>
    <w:rsid w:val="006D3416"/>
    <w:rsid w:val="006D7DC8"/>
    <w:rsid w:val="006E4F6B"/>
    <w:rsid w:val="00704015"/>
    <w:rsid w:val="007176F9"/>
    <w:rsid w:val="00733C24"/>
    <w:rsid w:val="00740002"/>
    <w:rsid w:val="00747798"/>
    <w:rsid w:val="007506C0"/>
    <w:rsid w:val="007707BE"/>
    <w:rsid w:val="007742DC"/>
    <w:rsid w:val="007751AE"/>
    <w:rsid w:val="00780707"/>
    <w:rsid w:val="00780C4D"/>
    <w:rsid w:val="007915D2"/>
    <w:rsid w:val="007A01D2"/>
    <w:rsid w:val="007A62CF"/>
    <w:rsid w:val="007B382A"/>
    <w:rsid w:val="007B42D7"/>
    <w:rsid w:val="007C6903"/>
    <w:rsid w:val="007D35D9"/>
    <w:rsid w:val="007D58C3"/>
    <w:rsid w:val="00805366"/>
    <w:rsid w:val="00810FDB"/>
    <w:rsid w:val="00811A20"/>
    <w:rsid w:val="00812EF3"/>
    <w:rsid w:val="008204DF"/>
    <w:rsid w:val="0084389C"/>
    <w:rsid w:val="0084611A"/>
    <w:rsid w:val="0085667F"/>
    <w:rsid w:val="00866CB0"/>
    <w:rsid w:val="00866FC0"/>
    <w:rsid w:val="008710D4"/>
    <w:rsid w:val="00875452"/>
    <w:rsid w:val="00880A18"/>
    <w:rsid w:val="00886716"/>
    <w:rsid w:val="0089165E"/>
    <w:rsid w:val="00893F8F"/>
    <w:rsid w:val="008A3D74"/>
    <w:rsid w:val="008B22CC"/>
    <w:rsid w:val="008B74AF"/>
    <w:rsid w:val="008C0043"/>
    <w:rsid w:val="008C324F"/>
    <w:rsid w:val="008D2406"/>
    <w:rsid w:val="008D2B3F"/>
    <w:rsid w:val="008D45D8"/>
    <w:rsid w:val="008D68BF"/>
    <w:rsid w:val="008E1C77"/>
    <w:rsid w:val="008E1CA4"/>
    <w:rsid w:val="008F464F"/>
    <w:rsid w:val="009048DA"/>
    <w:rsid w:val="009051F5"/>
    <w:rsid w:val="00911D6C"/>
    <w:rsid w:val="009128E5"/>
    <w:rsid w:val="00913B1B"/>
    <w:rsid w:val="00920F6C"/>
    <w:rsid w:val="0095571A"/>
    <w:rsid w:val="00955DB4"/>
    <w:rsid w:val="00957FAA"/>
    <w:rsid w:val="00970FCD"/>
    <w:rsid w:val="00985622"/>
    <w:rsid w:val="009A0215"/>
    <w:rsid w:val="009A114E"/>
    <w:rsid w:val="009A2A87"/>
    <w:rsid w:val="009A5941"/>
    <w:rsid w:val="009B0D05"/>
    <w:rsid w:val="009B5196"/>
    <w:rsid w:val="009B5888"/>
    <w:rsid w:val="009D0577"/>
    <w:rsid w:val="009E57C5"/>
    <w:rsid w:val="009F081D"/>
    <w:rsid w:val="009F17E6"/>
    <w:rsid w:val="009F73A8"/>
    <w:rsid w:val="00A16178"/>
    <w:rsid w:val="00A17ABB"/>
    <w:rsid w:val="00A25F52"/>
    <w:rsid w:val="00A268AD"/>
    <w:rsid w:val="00A3173B"/>
    <w:rsid w:val="00A44BBB"/>
    <w:rsid w:val="00A50FE6"/>
    <w:rsid w:val="00A5238A"/>
    <w:rsid w:val="00A632DB"/>
    <w:rsid w:val="00A76819"/>
    <w:rsid w:val="00A77912"/>
    <w:rsid w:val="00A8419C"/>
    <w:rsid w:val="00A96DA5"/>
    <w:rsid w:val="00AA0BA9"/>
    <w:rsid w:val="00AB2869"/>
    <w:rsid w:val="00AC54CA"/>
    <w:rsid w:val="00AC6DC2"/>
    <w:rsid w:val="00AD18A9"/>
    <w:rsid w:val="00AD18EB"/>
    <w:rsid w:val="00AD70CB"/>
    <w:rsid w:val="00AD7458"/>
    <w:rsid w:val="00AE6E8D"/>
    <w:rsid w:val="00AE76A1"/>
    <w:rsid w:val="00AF077C"/>
    <w:rsid w:val="00AF51D6"/>
    <w:rsid w:val="00B01239"/>
    <w:rsid w:val="00B029A5"/>
    <w:rsid w:val="00B14181"/>
    <w:rsid w:val="00B157D2"/>
    <w:rsid w:val="00B16F33"/>
    <w:rsid w:val="00B26C2F"/>
    <w:rsid w:val="00B30ABC"/>
    <w:rsid w:val="00B35C1E"/>
    <w:rsid w:val="00B417BB"/>
    <w:rsid w:val="00B4464F"/>
    <w:rsid w:val="00B44654"/>
    <w:rsid w:val="00B44C66"/>
    <w:rsid w:val="00B456D1"/>
    <w:rsid w:val="00B63129"/>
    <w:rsid w:val="00B64154"/>
    <w:rsid w:val="00B82798"/>
    <w:rsid w:val="00B82E2E"/>
    <w:rsid w:val="00B86382"/>
    <w:rsid w:val="00B924AC"/>
    <w:rsid w:val="00B930D5"/>
    <w:rsid w:val="00BA3DA0"/>
    <w:rsid w:val="00BC0D53"/>
    <w:rsid w:val="00BD46A3"/>
    <w:rsid w:val="00BD51BF"/>
    <w:rsid w:val="00BE0013"/>
    <w:rsid w:val="00BE0CC1"/>
    <w:rsid w:val="00BE3D0A"/>
    <w:rsid w:val="00BF113A"/>
    <w:rsid w:val="00C10081"/>
    <w:rsid w:val="00C250C6"/>
    <w:rsid w:val="00C416D5"/>
    <w:rsid w:val="00C42495"/>
    <w:rsid w:val="00C55874"/>
    <w:rsid w:val="00C60B8B"/>
    <w:rsid w:val="00C64AE3"/>
    <w:rsid w:val="00C6522E"/>
    <w:rsid w:val="00C72AFB"/>
    <w:rsid w:val="00C770E3"/>
    <w:rsid w:val="00C96DF9"/>
    <w:rsid w:val="00CA44A4"/>
    <w:rsid w:val="00CB1D12"/>
    <w:rsid w:val="00CB54F9"/>
    <w:rsid w:val="00CB6FFE"/>
    <w:rsid w:val="00CC0B26"/>
    <w:rsid w:val="00CD528A"/>
    <w:rsid w:val="00CE0739"/>
    <w:rsid w:val="00CF5DEB"/>
    <w:rsid w:val="00CF753C"/>
    <w:rsid w:val="00D54D06"/>
    <w:rsid w:val="00D61850"/>
    <w:rsid w:val="00D7049E"/>
    <w:rsid w:val="00D72405"/>
    <w:rsid w:val="00D81B65"/>
    <w:rsid w:val="00D90ADF"/>
    <w:rsid w:val="00D94517"/>
    <w:rsid w:val="00DA01BE"/>
    <w:rsid w:val="00DA475F"/>
    <w:rsid w:val="00DC19EB"/>
    <w:rsid w:val="00DC35AC"/>
    <w:rsid w:val="00DC5347"/>
    <w:rsid w:val="00DD1F09"/>
    <w:rsid w:val="00DD74C0"/>
    <w:rsid w:val="00DE1000"/>
    <w:rsid w:val="00DE6A37"/>
    <w:rsid w:val="00DE779C"/>
    <w:rsid w:val="00DF41ED"/>
    <w:rsid w:val="00E11647"/>
    <w:rsid w:val="00E1395D"/>
    <w:rsid w:val="00E171E9"/>
    <w:rsid w:val="00E25F68"/>
    <w:rsid w:val="00E30509"/>
    <w:rsid w:val="00E31D77"/>
    <w:rsid w:val="00E34CA8"/>
    <w:rsid w:val="00E36694"/>
    <w:rsid w:val="00E378A7"/>
    <w:rsid w:val="00E40E22"/>
    <w:rsid w:val="00E442C0"/>
    <w:rsid w:val="00E530A4"/>
    <w:rsid w:val="00E6083E"/>
    <w:rsid w:val="00E741FB"/>
    <w:rsid w:val="00E95A31"/>
    <w:rsid w:val="00E977EE"/>
    <w:rsid w:val="00EA1431"/>
    <w:rsid w:val="00EA46A4"/>
    <w:rsid w:val="00EC0E67"/>
    <w:rsid w:val="00EC1FFA"/>
    <w:rsid w:val="00EC6591"/>
    <w:rsid w:val="00F17300"/>
    <w:rsid w:val="00F17D63"/>
    <w:rsid w:val="00F32860"/>
    <w:rsid w:val="00F374C2"/>
    <w:rsid w:val="00F420A3"/>
    <w:rsid w:val="00F42149"/>
    <w:rsid w:val="00F70322"/>
    <w:rsid w:val="00F712DA"/>
    <w:rsid w:val="00F71E62"/>
    <w:rsid w:val="00F86F97"/>
    <w:rsid w:val="00F90F33"/>
    <w:rsid w:val="00F92950"/>
    <w:rsid w:val="00F93408"/>
    <w:rsid w:val="00F938E1"/>
    <w:rsid w:val="00FA5D33"/>
    <w:rsid w:val="00FC0F52"/>
    <w:rsid w:val="00FC3ABE"/>
    <w:rsid w:val="00FD2B1D"/>
    <w:rsid w:val="00FD6239"/>
    <w:rsid w:val="00FF283F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B4617D"/>
  <w15:docId w15:val="{4F0A20B6-3C4C-1A48-BBF8-6A5D06AD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612E2D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12E2D"/>
    <w:pPr>
      <w:keepNext/>
      <w:keepLines/>
      <w:spacing w:before="40"/>
      <w:jc w:val="both"/>
      <w:outlineLvl w:val="1"/>
    </w:pPr>
    <w:rPr>
      <w:rFonts w:ascii="Calibri Light" w:eastAsia="Yu Gothic Light" w:hAnsi="Calibri Light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12E2D"/>
    <w:rPr>
      <w:rFonts w:ascii="Calibri Light" w:eastAsia="Yu Gothic Light" w:hAnsi="Calibri Light" w:cs="Times New Roman"/>
      <w:b/>
      <w:sz w:val="32"/>
      <w:szCs w:val="26"/>
    </w:rPr>
  </w:style>
  <w:style w:type="character" w:styleId="Hyperlink">
    <w:name w:val="Hyperlink"/>
    <w:uiPriority w:val="99"/>
    <w:unhideWhenUsed/>
    <w:rsid w:val="00612E2D"/>
    <w:rPr>
      <w:color w:val="1F3864"/>
      <w:u w:val="single"/>
    </w:rPr>
  </w:style>
  <w:style w:type="table" w:customStyle="1" w:styleId="GridTable1Light-Accent31">
    <w:name w:val="Grid Table 1 Light - Accent 31"/>
    <w:basedOn w:val="TableNormal"/>
    <w:uiPriority w:val="46"/>
    <w:rsid w:val="00612E2D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99"/>
    <w:unhideWhenUsed/>
    <w:rsid w:val="00612E2D"/>
    <w:pPr>
      <w:spacing w:after="120"/>
    </w:pPr>
  </w:style>
  <w:style w:type="character" w:customStyle="1" w:styleId="BodyTextChar">
    <w:name w:val="Body Text Char"/>
    <w:link w:val="BodyText"/>
    <w:uiPriority w:val="99"/>
    <w:rsid w:val="00612E2D"/>
    <w:rPr>
      <w:rFonts w:ascii="Calibri" w:hAnsi="Calibri"/>
    </w:rPr>
  </w:style>
  <w:style w:type="paragraph" w:styleId="ListBullet">
    <w:name w:val="List Bullet"/>
    <w:basedOn w:val="Normal"/>
    <w:rsid w:val="00612E2D"/>
    <w:pPr>
      <w:keepNext/>
      <w:keepLines/>
      <w:numPr>
        <w:numId w:val="1"/>
      </w:numPr>
      <w:spacing w:before="40" w:after="40" w:line="240" w:lineRule="auto"/>
      <w:contextualSpacing/>
    </w:pPr>
    <w:rPr>
      <w:rFonts w:ascii="Times New Roman" w:eastAsia="Times New Roman" w:hAnsi="Times New Roman"/>
      <w:sz w:val="24"/>
    </w:rPr>
  </w:style>
  <w:style w:type="paragraph" w:styleId="ListBullet2">
    <w:name w:val="List Bullet 2"/>
    <w:basedOn w:val="Normal"/>
    <w:rsid w:val="00612E2D"/>
    <w:pPr>
      <w:keepNext/>
      <w:keepLines/>
      <w:numPr>
        <w:numId w:val="2"/>
      </w:numPr>
      <w:spacing w:before="60" w:after="60" w:line="240" w:lineRule="auto"/>
      <w:contextualSpacing/>
    </w:pPr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5D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45D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157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7D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B157D2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7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157D2"/>
    <w:rPr>
      <w:rFonts w:ascii="Calibri" w:hAnsi="Calibri"/>
      <w:b/>
      <w:bCs/>
      <w:sz w:val="20"/>
      <w:szCs w:val="20"/>
    </w:rPr>
  </w:style>
  <w:style w:type="table" w:customStyle="1" w:styleId="GridTable4-Accent31">
    <w:name w:val="Grid Table 4 - Accent 31"/>
    <w:basedOn w:val="TableNormal"/>
    <w:uiPriority w:val="49"/>
    <w:rsid w:val="008710D4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4-Accent31">
    <w:name w:val="List Table 4 - Accent 31"/>
    <w:basedOn w:val="TableNormal"/>
    <w:uiPriority w:val="49"/>
    <w:rsid w:val="00CB1D12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leGrid">
    <w:name w:val="Table Grid"/>
    <w:basedOn w:val="TableNormal"/>
    <w:uiPriority w:val="39"/>
    <w:rsid w:val="00CB1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List Paragraph11,Bullet point,Recommendation,Dot point 1.5 line spacing,L,bullet point list,List Paragraph - bullets,DDM Gen Text,NFP GP Bulleted List,List Paragraph Number,Content descriptions,Bullet Point,Bullet points"/>
    <w:basedOn w:val="Normal"/>
    <w:link w:val="ListParagraphChar"/>
    <w:uiPriority w:val="34"/>
    <w:qFormat/>
    <w:rsid w:val="00AA0BA9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character" w:customStyle="1" w:styleId="ListParagraphChar">
    <w:name w:val="List Paragraph Char"/>
    <w:aliases w:val="List Paragraph1 Char,List Paragraph11 Char,Bullet point Char,Recommendation Char,Dot point 1.5 line spacing Char,L Char,bullet point list Char,List Paragraph - bullets Char,DDM Gen Text Char,NFP GP Bulleted List Char"/>
    <w:link w:val="ListParagraph"/>
    <w:uiPriority w:val="34"/>
    <w:qFormat/>
    <w:locked/>
    <w:rsid w:val="00AA0BA9"/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26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C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6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C2F"/>
    <w:rPr>
      <w:sz w:val="22"/>
      <w:szCs w:val="22"/>
    </w:rPr>
  </w:style>
  <w:style w:type="paragraph" w:styleId="Revision">
    <w:name w:val="Revision"/>
    <w:hidden/>
    <w:uiPriority w:val="71"/>
    <w:unhideWhenUsed/>
    <w:rsid w:val="00F32860"/>
    <w:rPr>
      <w:sz w:val="22"/>
      <w:szCs w:val="22"/>
    </w:rPr>
  </w:style>
  <w:style w:type="character" w:styleId="UnresolvedMention">
    <w:name w:val="Unresolved Mention"/>
    <w:basedOn w:val="DefaultParagraphFont"/>
    <w:uiPriority w:val="47"/>
    <w:rsid w:val="006A7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net.gov.au/Pages/TrainingDocs.aspx?q=6f3f9672-30e8-4835-b348-205dfcf13d9b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AE3351-399A-4283-B86C-8A2471D2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Barragan</dc:creator>
  <cp:keywords/>
  <dc:description/>
  <cp:lastModifiedBy>Katalin Bolkeny</cp:lastModifiedBy>
  <cp:revision>26</cp:revision>
  <cp:lastPrinted>2020-07-01T00:57:00Z</cp:lastPrinted>
  <dcterms:created xsi:type="dcterms:W3CDTF">2020-07-01T00:57:00Z</dcterms:created>
  <dcterms:modified xsi:type="dcterms:W3CDTF">2020-08-26T05:53:00Z</dcterms:modified>
</cp:coreProperties>
</file>