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E29098" w14:textId="014E1730" w:rsidR="0091540A" w:rsidRDefault="0091540A" w:rsidP="00E95C06">
      <w:pPr>
        <w:rPr>
          <w:b/>
          <w:bCs/>
          <w:sz w:val="28"/>
          <w:szCs w:val="32"/>
        </w:rPr>
      </w:pPr>
      <w:r w:rsidRPr="00E95C06">
        <w:rPr>
          <w:b/>
          <w:bCs/>
          <w:sz w:val="28"/>
          <w:szCs w:val="32"/>
        </w:rPr>
        <w:t xml:space="preserve">Qualification </w:t>
      </w:r>
    </w:p>
    <w:p w14:paraId="2BDC3ECA" w14:textId="77777777" w:rsidR="006715A4" w:rsidRPr="006715A4" w:rsidRDefault="006715A4" w:rsidP="00E95C06">
      <w:pPr>
        <w:rPr>
          <w:b/>
          <w:bCs/>
          <w:sz w:val="28"/>
          <w:szCs w:val="32"/>
        </w:rPr>
      </w:pPr>
    </w:p>
    <w:p w14:paraId="79D2122C" w14:textId="40B7F0B1" w:rsidR="0091540A" w:rsidRPr="00FE7621" w:rsidRDefault="0091540A" w:rsidP="00E95C06">
      <w:r w:rsidRPr="00E95C06">
        <w:rPr>
          <w:b/>
          <w:bCs/>
        </w:rPr>
        <w:t xml:space="preserve">QUALIFICATION CODE </w:t>
      </w:r>
      <w:r w:rsidRPr="00E95C06">
        <w:rPr>
          <w:b/>
          <w:bCs/>
        </w:rPr>
        <w:tab/>
      </w:r>
      <w:r w:rsidRPr="00FE7621">
        <w:tab/>
        <w:t>CPC3</w:t>
      </w:r>
      <w:r w:rsidR="00B70AAE">
        <w:t>01</w:t>
      </w:r>
      <w:r w:rsidR="00E2672F">
        <w:t>20</w:t>
      </w:r>
    </w:p>
    <w:p w14:paraId="0B1024F6" w14:textId="0B9BBFD7" w:rsidR="0091540A" w:rsidRPr="00FE7621" w:rsidRDefault="0091540A" w:rsidP="00E95C06">
      <w:r w:rsidRPr="00E95C06">
        <w:rPr>
          <w:b/>
          <w:bCs/>
        </w:rPr>
        <w:t xml:space="preserve">QUALIFICATION TITLE </w:t>
      </w:r>
      <w:r w:rsidRPr="00E95C06">
        <w:rPr>
          <w:b/>
          <w:bCs/>
        </w:rPr>
        <w:tab/>
      </w:r>
      <w:r w:rsidRPr="00FE7621">
        <w:tab/>
        <w:t xml:space="preserve">Certificate III in </w:t>
      </w:r>
      <w:r w:rsidR="00E2672F">
        <w:t>Shopfitting</w:t>
      </w:r>
      <w:r w:rsidRPr="00FE7621">
        <w:t xml:space="preserve"> </w:t>
      </w:r>
    </w:p>
    <w:p w14:paraId="49F30617" w14:textId="77777777" w:rsidR="00E95C06" w:rsidRDefault="00E95C06" w:rsidP="00E95C06">
      <w:pPr>
        <w:rPr>
          <w:shd w:val="clear" w:color="auto" w:fill="FFFFFF"/>
        </w:rPr>
      </w:pPr>
    </w:p>
    <w:p w14:paraId="0566B854" w14:textId="1BA2A725" w:rsidR="0091540A" w:rsidRPr="00E95C06" w:rsidRDefault="0091540A" w:rsidP="00E95C06">
      <w:pPr>
        <w:rPr>
          <w:b/>
          <w:bCs/>
          <w:shd w:val="clear" w:color="auto" w:fill="FFFFFF"/>
        </w:rPr>
      </w:pPr>
      <w:r w:rsidRPr="00E95C06">
        <w:rPr>
          <w:b/>
          <w:bCs/>
          <w:shd w:val="clear" w:color="auto" w:fill="FFFFFF"/>
        </w:rPr>
        <w:t>QUALIFICATION DESCRIPTION</w:t>
      </w:r>
    </w:p>
    <w:p w14:paraId="50BA2284" w14:textId="77777777" w:rsidR="0091540A" w:rsidRPr="00FE7621" w:rsidRDefault="0091540A" w:rsidP="0091540A">
      <w:pPr>
        <w:rPr>
          <w:rFonts w:cs="Calibri"/>
          <w:szCs w:val="22"/>
        </w:rPr>
      </w:pPr>
    </w:p>
    <w:p w14:paraId="0FCAFE0B" w14:textId="10D74C00" w:rsidR="0091540A" w:rsidRDefault="0091540A" w:rsidP="0091540A">
      <w:pPr>
        <w:rPr>
          <w:rFonts w:cs="Calibri"/>
          <w:szCs w:val="22"/>
        </w:rPr>
      </w:pPr>
      <w:r w:rsidRPr="00FE7621">
        <w:rPr>
          <w:rFonts w:cs="Calibri"/>
          <w:szCs w:val="22"/>
        </w:rPr>
        <w:t xml:space="preserve">This </w:t>
      </w:r>
      <w:r w:rsidR="00E2672F">
        <w:rPr>
          <w:rFonts w:cs="Calibri"/>
          <w:szCs w:val="22"/>
        </w:rPr>
        <w:t xml:space="preserve">qualification reflects the role of shopfitters who construct or renovate commercial premises such as retail or office environments. It includes </w:t>
      </w:r>
      <w:r w:rsidR="005C7E7C">
        <w:rPr>
          <w:rFonts w:cs="Calibri"/>
          <w:szCs w:val="22"/>
        </w:rPr>
        <w:t xml:space="preserve">the </w:t>
      </w:r>
      <w:r w:rsidR="00E2672F">
        <w:rPr>
          <w:rFonts w:cs="Calibri"/>
          <w:szCs w:val="22"/>
        </w:rPr>
        <w:t xml:space="preserve">skills and knowledge </w:t>
      </w:r>
      <w:r w:rsidR="005C7E7C">
        <w:rPr>
          <w:rFonts w:cs="Calibri"/>
          <w:szCs w:val="22"/>
        </w:rPr>
        <w:t xml:space="preserve">required </w:t>
      </w:r>
      <w:r w:rsidR="00E2672F">
        <w:rPr>
          <w:rFonts w:cs="Calibri"/>
          <w:szCs w:val="22"/>
        </w:rPr>
        <w:t xml:space="preserve">to </w:t>
      </w:r>
      <w:r w:rsidR="0098546C">
        <w:rPr>
          <w:rFonts w:cs="Calibri"/>
          <w:szCs w:val="22"/>
        </w:rPr>
        <w:t xml:space="preserve">work safely using tools and equipment and to </w:t>
      </w:r>
      <w:r w:rsidR="00E2672F">
        <w:rPr>
          <w:rFonts w:cs="Calibri"/>
          <w:szCs w:val="22"/>
        </w:rPr>
        <w:t>apply information from plans and drawings to fabricate, assemble and fix shop fronts</w:t>
      </w:r>
      <w:r w:rsidR="0098546C">
        <w:rPr>
          <w:rFonts w:cs="Calibri"/>
          <w:szCs w:val="22"/>
        </w:rPr>
        <w:t xml:space="preserve"> and i</w:t>
      </w:r>
      <w:r w:rsidR="00E2672F">
        <w:rPr>
          <w:rFonts w:cs="Calibri"/>
          <w:szCs w:val="22"/>
        </w:rPr>
        <w:t>nstall internal units and partitions</w:t>
      </w:r>
      <w:r w:rsidR="0098546C">
        <w:rPr>
          <w:rFonts w:cs="Calibri"/>
          <w:szCs w:val="22"/>
        </w:rPr>
        <w:t xml:space="preserve">. </w:t>
      </w:r>
    </w:p>
    <w:p w14:paraId="7980A889" w14:textId="77777777" w:rsidR="0091540A" w:rsidRDefault="0091540A" w:rsidP="0091540A">
      <w:pPr>
        <w:rPr>
          <w:rFonts w:cs="Calibri"/>
          <w:szCs w:val="22"/>
        </w:rPr>
      </w:pPr>
    </w:p>
    <w:p w14:paraId="291D24BA" w14:textId="41600485" w:rsidR="0091540A" w:rsidRDefault="0091540A" w:rsidP="0091540A">
      <w:pPr>
        <w:rPr>
          <w:rFonts w:cs="Calibri"/>
          <w:szCs w:val="22"/>
        </w:rPr>
      </w:pPr>
      <w:r>
        <w:rPr>
          <w:rFonts w:cs="Calibri"/>
          <w:szCs w:val="22"/>
        </w:rPr>
        <w:t>Occupational titles may include:</w:t>
      </w:r>
    </w:p>
    <w:p w14:paraId="276C63E8" w14:textId="32F75656" w:rsidR="0091540A" w:rsidRPr="00F03E45" w:rsidRDefault="0025753F" w:rsidP="0091540A">
      <w:pPr>
        <w:pStyle w:val="ListParagraph"/>
        <w:numPr>
          <w:ilvl w:val="0"/>
          <w:numId w:val="1"/>
        </w:numPr>
        <w:rPr>
          <w:rFonts w:cs="Calibri"/>
          <w:szCs w:val="22"/>
        </w:rPr>
      </w:pPr>
      <w:r>
        <w:rPr>
          <w:rFonts w:cs="Calibri"/>
          <w:szCs w:val="22"/>
        </w:rPr>
        <w:t>s</w:t>
      </w:r>
      <w:r w:rsidR="0098546C">
        <w:rPr>
          <w:rFonts w:cs="Calibri"/>
          <w:szCs w:val="22"/>
        </w:rPr>
        <w:t>hopfitter</w:t>
      </w:r>
      <w:r w:rsidR="005C7E7C">
        <w:rPr>
          <w:rFonts w:cs="Calibri"/>
          <w:szCs w:val="22"/>
        </w:rPr>
        <w:t>.</w:t>
      </w:r>
    </w:p>
    <w:p w14:paraId="758B8536" w14:textId="77777777" w:rsidR="0091540A" w:rsidRPr="00FE7621" w:rsidRDefault="0091540A" w:rsidP="0091540A">
      <w:pPr>
        <w:rPr>
          <w:rFonts w:cs="Calibri"/>
          <w:szCs w:val="22"/>
        </w:rPr>
      </w:pPr>
    </w:p>
    <w:p w14:paraId="04825D36" w14:textId="6FDB3FFB" w:rsidR="0091540A" w:rsidRDefault="005C7E7C" w:rsidP="0091540A">
      <w:pPr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>L</w:t>
      </w:r>
      <w:r w:rsidR="0091540A">
        <w:rPr>
          <w:rFonts w:eastAsiaTheme="minorEastAsia"/>
          <w:lang w:val="en-US"/>
        </w:rPr>
        <w:t>icensing, legislative or certification requirements</w:t>
      </w:r>
      <w:r w:rsidRPr="005C7E7C">
        <w:rPr>
          <w:rFonts w:eastAsiaTheme="minorEastAsia"/>
          <w:lang w:val="en-US"/>
        </w:rPr>
        <w:t xml:space="preserve"> </w:t>
      </w:r>
      <w:r>
        <w:rPr>
          <w:rFonts w:eastAsiaTheme="minorEastAsia"/>
          <w:lang w:val="en-US"/>
        </w:rPr>
        <w:t>may apply to shopfitting in some states and territories</w:t>
      </w:r>
      <w:r w:rsidR="0091540A">
        <w:rPr>
          <w:rFonts w:eastAsiaTheme="minorEastAsia"/>
          <w:lang w:val="en-US"/>
        </w:rPr>
        <w:t>. Relevant state and territory regulatory authorities should be consulted to confirm those requirements.</w:t>
      </w:r>
    </w:p>
    <w:p w14:paraId="493283AF" w14:textId="77777777" w:rsidR="00CC776F" w:rsidRDefault="00CC776F" w:rsidP="0091540A">
      <w:pPr>
        <w:rPr>
          <w:rFonts w:eastAsiaTheme="minorEastAsia"/>
          <w:lang w:val="en-US"/>
        </w:rPr>
      </w:pPr>
    </w:p>
    <w:p w14:paraId="25E952A0" w14:textId="31F2A206" w:rsidR="00CC776F" w:rsidRPr="00CC776F" w:rsidRDefault="00CC776F" w:rsidP="0091540A">
      <w:pPr>
        <w:rPr>
          <w:rFonts w:cs="Calibri"/>
          <w:szCs w:val="22"/>
        </w:rPr>
      </w:pPr>
      <w:r>
        <w:rPr>
          <w:rFonts w:cs="Calibri"/>
          <w:color w:val="222222"/>
          <w:szCs w:val="22"/>
          <w:shd w:val="clear" w:color="auto" w:fill="FFFFFF"/>
        </w:rPr>
        <w:t>Completion of the general construction induction training program, specified in the Safe Work Australia model </w:t>
      </w:r>
      <w:r>
        <w:rPr>
          <w:rFonts w:cs="Calibri"/>
          <w:i/>
          <w:iCs/>
          <w:color w:val="222222"/>
          <w:szCs w:val="22"/>
          <w:shd w:val="clear" w:color="auto" w:fill="FFFFFF"/>
        </w:rPr>
        <w:t>Code of Practice: Construction Work</w:t>
      </w:r>
      <w:r>
        <w:rPr>
          <w:rFonts w:cs="Calibri"/>
          <w:color w:val="222222"/>
          <w:szCs w:val="22"/>
          <w:shd w:val="clear" w:color="auto" w:fill="FFFFFF"/>
        </w:rPr>
        <w:t>, is required by anyone carrying out construction work. Achievement of CPCCWHS1001 </w:t>
      </w:r>
      <w:r>
        <w:rPr>
          <w:rFonts w:cs="Calibri"/>
          <w:i/>
          <w:iCs/>
          <w:color w:val="222222"/>
          <w:szCs w:val="22"/>
          <w:shd w:val="clear" w:color="auto" w:fill="FFFFFF"/>
        </w:rPr>
        <w:t>Prepare to work safely in the construction industry</w:t>
      </w:r>
      <w:r>
        <w:rPr>
          <w:rFonts w:cs="Calibri"/>
          <w:color w:val="222222"/>
          <w:szCs w:val="22"/>
          <w:shd w:val="clear" w:color="auto" w:fill="FFFFFF"/>
        </w:rPr>
        <w:t> meets this requirement.</w:t>
      </w:r>
    </w:p>
    <w:p w14:paraId="7552AD33" w14:textId="77777777" w:rsidR="00E95C06" w:rsidRDefault="00E95C06" w:rsidP="00E95C06">
      <w:pPr>
        <w:rPr>
          <w:b/>
          <w:bCs/>
          <w:shd w:val="clear" w:color="auto" w:fill="FFFFFF"/>
        </w:rPr>
      </w:pPr>
    </w:p>
    <w:p w14:paraId="0F80C16D" w14:textId="15BA9232" w:rsidR="0091540A" w:rsidRDefault="0091540A" w:rsidP="00E95C06">
      <w:pPr>
        <w:rPr>
          <w:b/>
          <w:bCs/>
          <w:shd w:val="clear" w:color="auto" w:fill="FFFFFF"/>
        </w:rPr>
      </w:pPr>
      <w:r w:rsidRPr="00E95C06">
        <w:rPr>
          <w:b/>
          <w:bCs/>
          <w:shd w:val="clear" w:color="auto" w:fill="FFFFFF"/>
        </w:rPr>
        <w:t xml:space="preserve">PACKAGING RULES </w:t>
      </w:r>
    </w:p>
    <w:p w14:paraId="31874A41" w14:textId="77777777" w:rsidR="002A7F19" w:rsidRPr="00E95C06" w:rsidRDefault="002A7F19" w:rsidP="00E95C06">
      <w:pPr>
        <w:rPr>
          <w:b/>
          <w:bCs/>
          <w:shd w:val="clear" w:color="auto" w:fill="FFFFFF"/>
        </w:rPr>
      </w:pPr>
    </w:p>
    <w:p w14:paraId="5DFA6F4F" w14:textId="2EE4FA35" w:rsidR="00B0077B" w:rsidRDefault="0091540A" w:rsidP="0091540A">
      <w:pPr>
        <w:rPr>
          <w:rFonts w:cs="Calibri"/>
          <w:szCs w:val="22"/>
        </w:rPr>
      </w:pPr>
      <w:r w:rsidRPr="00FE7621">
        <w:rPr>
          <w:rFonts w:cs="Calibri"/>
          <w:szCs w:val="22"/>
        </w:rPr>
        <w:t>To achieve this qualification, competency must be demonstrated in</w:t>
      </w:r>
      <w:r w:rsidR="00B0077B">
        <w:rPr>
          <w:rFonts w:cs="Calibri"/>
          <w:szCs w:val="22"/>
        </w:rPr>
        <w:t>:</w:t>
      </w:r>
    </w:p>
    <w:p w14:paraId="215F81E5" w14:textId="77777777" w:rsidR="00B0077B" w:rsidRDefault="00B0077B" w:rsidP="0091540A">
      <w:pPr>
        <w:rPr>
          <w:rFonts w:cs="Calibri"/>
          <w:szCs w:val="22"/>
        </w:rPr>
      </w:pPr>
    </w:p>
    <w:p w14:paraId="7DC5B5BA" w14:textId="0B9665FF" w:rsidR="0091540A" w:rsidRPr="00B0077B" w:rsidRDefault="00B86C7E" w:rsidP="00B0077B">
      <w:pPr>
        <w:pStyle w:val="ListParagraph"/>
        <w:numPr>
          <w:ilvl w:val="0"/>
          <w:numId w:val="5"/>
        </w:numPr>
        <w:rPr>
          <w:rFonts w:cs="Calibri"/>
          <w:szCs w:val="22"/>
        </w:rPr>
      </w:pPr>
      <w:r>
        <w:rPr>
          <w:rFonts w:cs="Calibri"/>
          <w:szCs w:val="22"/>
        </w:rPr>
        <w:t>18</w:t>
      </w:r>
      <w:r w:rsidR="0091540A" w:rsidRPr="00B0077B">
        <w:rPr>
          <w:rFonts w:cs="Calibri"/>
          <w:szCs w:val="22"/>
        </w:rPr>
        <w:t xml:space="preserve"> units of competency</w:t>
      </w:r>
      <w:r w:rsidR="00B0077B" w:rsidRPr="00B0077B">
        <w:rPr>
          <w:rFonts w:cs="Calibri"/>
          <w:szCs w:val="22"/>
        </w:rPr>
        <w:t>:</w:t>
      </w:r>
    </w:p>
    <w:p w14:paraId="49D1B682" w14:textId="066B8ACD" w:rsidR="0091540A" w:rsidRPr="00B0077B" w:rsidRDefault="0098546C" w:rsidP="00B0077B">
      <w:pPr>
        <w:pStyle w:val="ListParagraph"/>
        <w:numPr>
          <w:ilvl w:val="1"/>
          <w:numId w:val="6"/>
        </w:numPr>
        <w:rPr>
          <w:rFonts w:cs="Calibri"/>
          <w:szCs w:val="22"/>
        </w:rPr>
      </w:pPr>
      <w:r>
        <w:rPr>
          <w:rFonts w:cs="Calibri"/>
          <w:szCs w:val="22"/>
        </w:rPr>
        <w:t>1</w:t>
      </w:r>
      <w:r w:rsidR="00B86C7E">
        <w:rPr>
          <w:rFonts w:cs="Calibri"/>
          <w:szCs w:val="22"/>
        </w:rPr>
        <w:t>2</w:t>
      </w:r>
      <w:r w:rsidR="0091540A" w:rsidRPr="00B0077B">
        <w:rPr>
          <w:rFonts w:cs="Calibri"/>
          <w:szCs w:val="22"/>
        </w:rPr>
        <w:t xml:space="preserve"> core units</w:t>
      </w:r>
    </w:p>
    <w:p w14:paraId="670345E1" w14:textId="1F222F79" w:rsidR="00B0077B" w:rsidRPr="00B0077B" w:rsidRDefault="00B0077B" w:rsidP="00B0077B">
      <w:pPr>
        <w:pStyle w:val="ListParagraph"/>
        <w:numPr>
          <w:ilvl w:val="1"/>
          <w:numId w:val="6"/>
        </w:numPr>
        <w:rPr>
          <w:rFonts w:cs="Calibri"/>
          <w:szCs w:val="22"/>
        </w:rPr>
      </w:pPr>
      <w:r w:rsidRPr="00B0077B">
        <w:rPr>
          <w:rFonts w:cs="Calibri"/>
          <w:szCs w:val="22"/>
        </w:rPr>
        <w:t>6 elective</w:t>
      </w:r>
      <w:r w:rsidR="005C7E7C">
        <w:rPr>
          <w:rFonts w:cs="Calibri"/>
          <w:szCs w:val="22"/>
        </w:rPr>
        <w:t xml:space="preserve"> unit</w:t>
      </w:r>
      <w:r w:rsidRPr="00B0077B">
        <w:rPr>
          <w:rFonts w:cs="Calibri"/>
          <w:szCs w:val="22"/>
        </w:rPr>
        <w:t>s</w:t>
      </w:r>
      <w:r w:rsidR="005C7E7C">
        <w:rPr>
          <w:rFonts w:cs="Calibri"/>
          <w:szCs w:val="22"/>
        </w:rPr>
        <w:t>.</w:t>
      </w:r>
    </w:p>
    <w:p w14:paraId="5C1B03B3" w14:textId="18BC2CA2" w:rsidR="0091540A" w:rsidRPr="002A7F19" w:rsidRDefault="0091540A" w:rsidP="00B0077B">
      <w:pPr>
        <w:rPr>
          <w:rFonts w:cs="Calibri"/>
          <w:szCs w:val="22"/>
        </w:rPr>
      </w:pPr>
    </w:p>
    <w:p w14:paraId="0608F1B0" w14:textId="693D43B8" w:rsidR="005C7E7C" w:rsidRPr="002A7F19" w:rsidRDefault="005C7E7C" w:rsidP="00B0077B">
      <w:pPr>
        <w:rPr>
          <w:rFonts w:cs="Calibri"/>
          <w:szCs w:val="22"/>
        </w:rPr>
      </w:pPr>
      <w:r w:rsidRPr="002A7F19">
        <w:rPr>
          <w:rFonts w:cs="Calibri"/>
          <w:szCs w:val="22"/>
        </w:rPr>
        <w:t>For the elective units:</w:t>
      </w:r>
    </w:p>
    <w:p w14:paraId="6E5BD7B0" w14:textId="77777777" w:rsidR="00CE64D8" w:rsidRPr="00FE7621" w:rsidRDefault="00CE64D8" w:rsidP="00B0077B">
      <w:pPr>
        <w:rPr>
          <w:rFonts w:cs="Calibri"/>
          <w:szCs w:val="22"/>
          <w:u w:val="single"/>
        </w:rPr>
      </w:pPr>
    </w:p>
    <w:p w14:paraId="5F68C0D5" w14:textId="0B0FDD7B" w:rsidR="0091540A" w:rsidRPr="0098546C" w:rsidRDefault="0091540A" w:rsidP="0098546C">
      <w:pPr>
        <w:pStyle w:val="ListParagraph"/>
        <w:numPr>
          <w:ilvl w:val="0"/>
          <w:numId w:val="2"/>
        </w:numPr>
        <w:rPr>
          <w:rFonts w:cs="Calibri"/>
          <w:szCs w:val="22"/>
        </w:rPr>
      </w:pPr>
      <w:r>
        <w:rPr>
          <w:rFonts w:cs="Calibri"/>
          <w:szCs w:val="22"/>
        </w:rPr>
        <w:t xml:space="preserve">a minimum of </w:t>
      </w:r>
      <w:r w:rsidR="0098546C">
        <w:rPr>
          <w:rFonts w:cs="Calibri"/>
          <w:szCs w:val="22"/>
        </w:rPr>
        <w:t>four</w:t>
      </w:r>
      <w:r>
        <w:rPr>
          <w:rFonts w:cs="Calibri"/>
          <w:szCs w:val="22"/>
        </w:rPr>
        <w:t xml:space="preserve"> units</w:t>
      </w:r>
      <w:r w:rsidR="003017E7">
        <w:rPr>
          <w:rFonts w:cs="Calibri"/>
          <w:szCs w:val="22"/>
        </w:rPr>
        <w:t xml:space="preserve"> must</w:t>
      </w:r>
      <w:r w:rsidR="00B0077B">
        <w:rPr>
          <w:rFonts w:cs="Calibri"/>
          <w:szCs w:val="22"/>
        </w:rPr>
        <w:t xml:space="preserve"> be selected </w:t>
      </w:r>
      <w:r>
        <w:rPr>
          <w:rFonts w:cs="Calibri"/>
          <w:szCs w:val="22"/>
        </w:rPr>
        <w:t xml:space="preserve">from </w:t>
      </w:r>
      <w:r w:rsidR="003017E7">
        <w:rPr>
          <w:rFonts w:cs="Calibri"/>
          <w:szCs w:val="22"/>
        </w:rPr>
        <w:t>Group A</w:t>
      </w:r>
    </w:p>
    <w:p w14:paraId="50BA8691" w14:textId="2959A649" w:rsidR="0091540A" w:rsidRPr="0091540A" w:rsidRDefault="003930B7" w:rsidP="0091540A">
      <w:pPr>
        <w:pStyle w:val="ListParagraph"/>
        <w:numPr>
          <w:ilvl w:val="0"/>
          <w:numId w:val="4"/>
        </w:numPr>
        <w:rPr>
          <w:rFonts w:cs="Calibri"/>
          <w:szCs w:val="22"/>
        </w:rPr>
      </w:pPr>
      <w:r>
        <w:rPr>
          <w:rFonts w:cs="Calibri"/>
          <w:szCs w:val="22"/>
        </w:rPr>
        <w:t xml:space="preserve">the remaining </w:t>
      </w:r>
      <w:r w:rsidR="001319CF">
        <w:rPr>
          <w:rFonts w:cs="Calibri"/>
          <w:szCs w:val="22"/>
        </w:rPr>
        <w:t xml:space="preserve">two units </w:t>
      </w:r>
      <w:r w:rsidR="0091540A" w:rsidRPr="0091540A">
        <w:rPr>
          <w:rFonts w:cs="Calibri"/>
          <w:szCs w:val="22"/>
        </w:rPr>
        <w:t xml:space="preserve">can be selected from </w:t>
      </w:r>
      <w:r>
        <w:rPr>
          <w:rFonts w:cs="Calibri"/>
          <w:szCs w:val="22"/>
        </w:rPr>
        <w:t>Group A and/or Group B</w:t>
      </w:r>
      <w:r w:rsidRPr="0091540A" w:rsidDel="003930B7">
        <w:rPr>
          <w:rFonts w:cs="Calibri"/>
          <w:szCs w:val="22"/>
        </w:rPr>
        <w:t xml:space="preserve"> </w:t>
      </w:r>
      <w:r>
        <w:rPr>
          <w:rFonts w:cs="Calibri"/>
          <w:szCs w:val="22"/>
        </w:rPr>
        <w:t xml:space="preserve">or from any </w:t>
      </w:r>
      <w:r w:rsidR="00DA2250">
        <w:rPr>
          <w:rFonts w:cs="Calibri"/>
          <w:szCs w:val="22"/>
        </w:rPr>
        <w:t>current</w:t>
      </w:r>
      <w:r>
        <w:rPr>
          <w:rFonts w:cs="Calibri"/>
          <w:szCs w:val="22"/>
        </w:rPr>
        <w:t>ly endorsed</w:t>
      </w:r>
      <w:r w:rsidR="00DA2250">
        <w:rPr>
          <w:rFonts w:cs="Calibri"/>
          <w:szCs w:val="22"/>
        </w:rPr>
        <w:t xml:space="preserve"> </w:t>
      </w:r>
      <w:r>
        <w:rPr>
          <w:rFonts w:cs="Calibri"/>
          <w:szCs w:val="22"/>
        </w:rPr>
        <w:t>T</w:t>
      </w:r>
      <w:r w:rsidR="0091540A" w:rsidRPr="0091540A">
        <w:rPr>
          <w:rFonts w:cs="Calibri"/>
          <w:szCs w:val="22"/>
        </w:rPr>
        <w:t xml:space="preserve">raining </w:t>
      </w:r>
      <w:r>
        <w:rPr>
          <w:rFonts w:cs="Calibri"/>
          <w:szCs w:val="22"/>
        </w:rPr>
        <w:t>P</w:t>
      </w:r>
      <w:r w:rsidR="0091540A" w:rsidRPr="0091540A">
        <w:rPr>
          <w:rFonts w:cs="Calibri"/>
          <w:szCs w:val="22"/>
        </w:rPr>
        <w:t>ackage</w:t>
      </w:r>
      <w:r w:rsidR="001319CF">
        <w:rPr>
          <w:rFonts w:cs="Calibri"/>
          <w:szCs w:val="22"/>
        </w:rPr>
        <w:t xml:space="preserve"> or accredited course</w:t>
      </w:r>
      <w:r w:rsidR="0091540A" w:rsidRPr="0091540A">
        <w:rPr>
          <w:rFonts w:cs="Calibri"/>
          <w:szCs w:val="22"/>
        </w:rPr>
        <w:t xml:space="preserve"> as long a</w:t>
      </w:r>
      <w:r w:rsidR="001319CF">
        <w:rPr>
          <w:rFonts w:cs="Calibri"/>
          <w:szCs w:val="22"/>
        </w:rPr>
        <w:t xml:space="preserve">s they </w:t>
      </w:r>
      <w:r w:rsidR="0091540A" w:rsidRPr="0091540A">
        <w:rPr>
          <w:rFonts w:cs="Calibri"/>
          <w:szCs w:val="22"/>
        </w:rPr>
        <w:t xml:space="preserve">contribute to a valid, industry-supported vocational outcome and </w:t>
      </w:r>
      <w:r w:rsidR="008024FB">
        <w:rPr>
          <w:rFonts w:cs="Calibri"/>
          <w:szCs w:val="22"/>
        </w:rPr>
        <w:t>maintain</w:t>
      </w:r>
      <w:r w:rsidR="0091540A" w:rsidRPr="0091540A">
        <w:rPr>
          <w:rFonts w:cs="Calibri"/>
          <w:szCs w:val="22"/>
        </w:rPr>
        <w:t xml:space="preserve"> the </w:t>
      </w:r>
      <w:r>
        <w:rPr>
          <w:rFonts w:cs="Calibri"/>
          <w:szCs w:val="22"/>
        </w:rPr>
        <w:t>integrity of the Australian Qualifications Framework (</w:t>
      </w:r>
      <w:r w:rsidR="0091540A" w:rsidRPr="0091540A">
        <w:rPr>
          <w:rFonts w:cs="Calibri"/>
          <w:szCs w:val="22"/>
        </w:rPr>
        <w:t>AQF</w:t>
      </w:r>
      <w:r>
        <w:rPr>
          <w:rFonts w:cs="Calibri"/>
          <w:szCs w:val="22"/>
        </w:rPr>
        <w:t>)</w:t>
      </w:r>
      <w:r w:rsidR="0091540A" w:rsidRPr="0091540A">
        <w:rPr>
          <w:rFonts w:cs="Calibri"/>
          <w:szCs w:val="22"/>
        </w:rPr>
        <w:t xml:space="preserve"> level of this qualification.</w:t>
      </w:r>
    </w:p>
    <w:p w14:paraId="1EC944B1" w14:textId="77777777" w:rsidR="0091540A" w:rsidRDefault="0091540A" w:rsidP="0091540A">
      <w:pPr>
        <w:rPr>
          <w:rFonts w:cs="Calibri"/>
          <w:b/>
          <w:szCs w:val="22"/>
        </w:rPr>
      </w:pPr>
    </w:p>
    <w:p w14:paraId="2A5CEFE0" w14:textId="77777777" w:rsidR="0091540A" w:rsidRPr="00FE7621" w:rsidRDefault="0091540A" w:rsidP="0091540A">
      <w:pPr>
        <w:rPr>
          <w:rFonts w:cs="Calibri"/>
          <w:b/>
          <w:szCs w:val="22"/>
        </w:rPr>
      </w:pPr>
      <w:r w:rsidRPr="00FE7621">
        <w:rPr>
          <w:rFonts w:cs="Calibri"/>
          <w:b/>
          <w:szCs w:val="22"/>
        </w:rPr>
        <w:t xml:space="preserve">Prerequisite units of competency </w:t>
      </w:r>
    </w:p>
    <w:p w14:paraId="4A6B3958" w14:textId="77777777" w:rsidR="0091540A" w:rsidRPr="001E6ED6" w:rsidRDefault="0091540A" w:rsidP="001E6ED6">
      <w:pPr>
        <w:rPr>
          <w:color w:val="000000" w:themeColor="text1"/>
          <w:szCs w:val="22"/>
        </w:rPr>
      </w:pPr>
    </w:p>
    <w:p w14:paraId="20BC5BF9" w14:textId="7A6A6193" w:rsidR="003B203F" w:rsidRPr="003B203F" w:rsidRDefault="003B203F" w:rsidP="003B203F">
      <w:pPr>
        <w:rPr>
          <w:rFonts w:cs="Calibri"/>
          <w:color w:val="000000" w:themeColor="text1"/>
          <w:szCs w:val="22"/>
        </w:rPr>
      </w:pPr>
      <w:r w:rsidRPr="003B203F">
        <w:rPr>
          <w:rFonts w:cs="Calibri"/>
          <w:color w:val="000000" w:themeColor="text1"/>
          <w:szCs w:val="22"/>
        </w:rPr>
        <w:t>An asterisk (*) against a unit code below indicates that there is a prerequisite requirement that must be met. Prerequisite units</w:t>
      </w:r>
      <w:r>
        <w:rPr>
          <w:rFonts w:cs="Calibri"/>
          <w:color w:val="000000" w:themeColor="text1"/>
          <w:szCs w:val="22"/>
        </w:rPr>
        <w:t xml:space="preserve"> </w:t>
      </w:r>
      <w:r w:rsidRPr="003B203F">
        <w:rPr>
          <w:rFonts w:cs="Calibri"/>
          <w:color w:val="000000" w:themeColor="text1"/>
          <w:szCs w:val="22"/>
          <w:shd w:val="clear" w:color="auto" w:fill="FFFFFF"/>
        </w:rPr>
        <w:t>must be assessed before assessment of any unit of competency with an asterisk. Check the unit of competency for information on specific prerequisite </w:t>
      </w:r>
      <w:r w:rsidRPr="003B203F">
        <w:rPr>
          <w:rFonts w:cs="Calibri"/>
          <w:color w:val="000000" w:themeColor="text1"/>
          <w:szCs w:val="22"/>
        </w:rPr>
        <w:t>requirements. All prerequisite requirements are packaged in the qualification.</w:t>
      </w:r>
    </w:p>
    <w:p w14:paraId="676D6B77" w14:textId="77777777" w:rsidR="007A6D4A" w:rsidRDefault="00775EF8" w:rsidP="006A341C"/>
    <w:p w14:paraId="6BC0A91E" w14:textId="14CA1E21" w:rsidR="0091540A" w:rsidRPr="00E95C06" w:rsidRDefault="0091540A" w:rsidP="00E95C06">
      <w:pPr>
        <w:rPr>
          <w:b/>
          <w:bCs/>
          <w:shd w:val="clear" w:color="auto" w:fill="FFFFFF"/>
        </w:rPr>
      </w:pPr>
      <w:r w:rsidRPr="00E95C06">
        <w:rPr>
          <w:b/>
          <w:bCs/>
          <w:shd w:val="clear" w:color="auto" w:fill="FFFFFF"/>
        </w:rPr>
        <w:t xml:space="preserve">Core Units </w:t>
      </w:r>
    </w:p>
    <w:p w14:paraId="5924CB86" w14:textId="77777777" w:rsidR="0091540A" w:rsidRDefault="0091540A" w:rsidP="0091540A">
      <w:pPr>
        <w:ind w:left="720" w:hanging="720"/>
        <w:rPr>
          <w:rFonts w:cs="Calibri"/>
          <w:szCs w:val="22"/>
        </w:rPr>
      </w:pPr>
    </w:p>
    <w:tbl>
      <w:tblPr>
        <w:tblStyle w:val="TableGrid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802"/>
      </w:tblGrid>
      <w:tr w:rsidR="00D90F55" w:rsidRPr="00663A86" w14:paraId="6F2B88BF" w14:textId="77777777" w:rsidTr="00280449">
        <w:trPr>
          <w:trHeight w:val="320"/>
        </w:trPr>
        <w:tc>
          <w:tcPr>
            <w:tcW w:w="1696" w:type="dxa"/>
            <w:noWrap/>
            <w:vAlign w:val="center"/>
          </w:tcPr>
          <w:p w14:paraId="669D39DB" w14:textId="665D8AC4" w:rsidR="00D90F55" w:rsidRPr="00280449" w:rsidRDefault="00D90F55" w:rsidP="00D90F55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eastAsiaTheme="minorHAnsi"/>
                <w:szCs w:val="22"/>
                <w:lang w:val="en-GB"/>
              </w:rPr>
            </w:pPr>
            <w:r w:rsidRPr="00280449">
              <w:rPr>
                <w:rFonts w:asciiTheme="minorHAnsi" w:hAnsiTheme="minorHAnsi"/>
                <w:szCs w:val="22"/>
              </w:rPr>
              <w:lastRenderedPageBreak/>
              <w:t>CPCCCA2002*</w:t>
            </w:r>
          </w:p>
        </w:tc>
        <w:tc>
          <w:tcPr>
            <w:tcW w:w="7802" w:type="dxa"/>
            <w:noWrap/>
            <w:vAlign w:val="center"/>
          </w:tcPr>
          <w:p w14:paraId="38C16AD0" w14:textId="7C5BC449" w:rsidR="00D90F55" w:rsidRPr="00280449" w:rsidRDefault="00D90F55" w:rsidP="002B7AB5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szCs w:val="22"/>
              </w:rPr>
            </w:pPr>
            <w:r w:rsidRPr="00280449">
              <w:rPr>
                <w:rFonts w:asciiTheme="minorHAnsi" w:hAnsiTheme="minorHAnsi"/>
                <w:szCs w:val="22"/>
              </w:rPr>
              <w:t xml:space="preserve">Use carpentry tools </w:t>
            </w:r>
            <w:r w:rsidRPr="00280449">
              <w:rPr>
                <w:rFonts w:eastAsiaTheme="minorHAnsi"/>
                <w:color w:val="000000"/>
                <w:szCs w:val="22"/>
                <w:lang w:val="en-GB"/>
              </w:rPr>
              <w:t>and</w:t>
            </w:r>
            <w:r w:rsidRPr="00280449">
              <w:rPr>
                <w:rFonts w:asciiTheme="minorHAnsi" w:hAnsiTheme="minorHAnsi"/>
                <w:szCs w:val="22"/>
              </w:rPr>
              <w:t xml:space="preserve"> equipment </w:t>
            </w:r>
          </w:p>
        </w:tc>
      </w:tr>
      <w:tr w:rsidR="00B327B1" w:rsidRPr="00663A86" w14:paraId="43F88DC8" w14:textId="77777777" w:rsidTr="00280449">
        <w:trPr>
          <w:trHeight w:val="320"/>
        </w:trPr>
        <w:tc>
          <w:tcPr>
            <w:tcW w:w="1696" w:type="dxa"/>
            <w:noWrap/>
          </w:tcPr>
          <w:p w14:paraId="3B86C70A" w14:textId="4DC053D9" w:rsidR="00B327B1" w:rsidRPr="00280449" w:rsidRDefault="00663A86" w:rsidP="00663A86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eastAsiaTheme="minorHAnsi" w:cs="Times"/>
                <w:color w:val="000000"/>
                <w:szCs w:val="22"/>
                <w:lang w:val="en-GB"/>
              </w:rPr>
            </w:pPr>
            <w:r w:rsidRPr="00280449">
              <w:rPr>
                <w:rFonts w:eastAsiaTheme="minorHAnsi"/>
                <w:color w:val="000000"/>
                <w:szCs w:val="22"/>
                <w:lang w:val="en-GB"/>
              </w:rPr>
              <w:t>CPCCCM3004</w:t>
            </w:r>
          </w:p>
        </w:tc>
        <w:tc>
          <w:tcPr>
            <w:tcW w:w="7802" w:type="dxa"/>
            <w:noWrap/>
            <w:vAlign w:val="center"/>
          </w:tcPr>
          <w:p w14:paraId="3C8E8E5E" w14:textId="16B20972" w:rsidR="00B327B1" w:rsidRPr="00280449" w:rsidRDefault="001319CF" w:rsidP="002B7AB5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szCs w:val="22"/>
              </w:rPr>
            </w:pPr>
            <w:r w:rsidRPr="00280449">
              <w:rPr>
                <w:szCs w:val="22"/>
              </w:rPr>
              <w:t xml:space="preserve">Identify and apply </w:t>
            </w:r>
            <w:r w:rsidRPr="00280449">
              <w:rPr>
                <w:rFonts w:eastAsiaTheme="minorHAnsi"/>
                <w:color w:val="000000"/>
                <w:szCs w:val="22"/>
                <w:lang w:val="en-GB"/>
              </w:rPr>
              <w:t>in</w:t>
            </w:r>
            <w:r w:rsidR="00F50094" w:rsidRPr="00280449">
              <w:rPr>
                <w:rFonts w:eastAsiaTheme="minorHAnsi"/>
                <w:color w:val="000000"/>
                <w:szCs w:val="22"/>
                <w:lang w:val="en-GB"/>
              </w:rPr>
              <w:t>formation</w:t>
            </w:r>
            <w:r w:rsidR="00F50094" w:rsidRPr="00280449">
              <w:rPr>
                <w:szCs w:val="22"/>
              </w:rPr>
              <w:t xml:space="preserve"> in construction plans, drawings and specifications</w:t>
            </w:r>
            <w:r w:rsidRPr="00280449">
              <w:rPr>
                <w:szCs w:val="22"/>
              </w:rPr>
              <w:t xml:space="preserve"> </w:t>
            </w:r>
          </w:p>
        </w:tc>
      </w:tr>
      <w:tr w:rsidR="001319CF" w:rsidRPr="00663A86" w14:paraId="083EE57F" w14:textId="77777777" w:rsidTr="00280449">
        <w:trPr>
          <w:trHeight w:val="320"/>
        </w:trPr>
        <w:tc>
          <w:tcPr>
            <w:tcW w:w="1696" w:type="dxa"/>
            <w:noWrap/>
          </w:tcPr>
          <w:p w14:paraId="30D6902D" w14:textId="7E217C67" w:rsidR="001319CF" w:rsidRPr="00280449" w:rsidRDefault="00663A86" w:rsidP="00663A86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eastAsiaTheme="minorHAnsi" w:cs="Times"/>
                <w:color w:val="000000"/>
                <w:szCs w:val="22"/>
                <w:lang w:val="en-GB"/>
              </w:rPr>
            </w:pPr>
            <w:r w:rsidRPr="00280449">
              <w:rPr>
                <w:rFonts w:eastAsiaTheme="minorHAnsi"/>
                <w:color w:val="000000"/>
                <w:szCs w:val="22"/>
                <w:lang w:val="en-GB"/>
              </w:rPr>
              <w:t>CPCC</w:t>
            </w:r>
            <w:r w:rsidR="00B70AAE" w:rsidRPr="00280449">
              <w:rPr>
                <w:rFonts w:eastAsiaTheme="minorHAnsi"/>
                <w:color w:val="000000"/>
                <w:szCs w:val="22"/>
                <w:lang w:val="en-GB"/>
              </w:rPr>
              <w:t>O</w:t>
            </w:r>
            <w:r w:rsidRPr="00280449">
              <w:rPr>
                <w:rFonts w:eastAsiaTheme="minorHAnsi"/>
                <w:color w:val="000000"/>
                <w:szCs w:val="22"/>
                <w:lang w:val="en-GB"/>
              </w:rPr>
              <w:t>M3006</w:t>
            </w:r>
          </w:p>
        </w:tc>
        <w:tc>
          <w:tcPr>
            <w:tcW w:w="7802" w:type="dxa"/>
            <w:noWrap/>
          </w:tcPr>
          <w:p w14:paraId="3265D8E7" w14:textId="79DE4218" w:rsidR="001319CF" w:rsidRPr="00280449" w:rsidRDefault="00663A86" w:rsidP="00663A86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eastAsiaTheme="minorHAnsi" w:cs="Times"/>
                <w:color w:val="000000"/>
                <w:szCs w:val="22"/>
                <w:lang w:val="en-GB"/>
              </w:rPr>
            </w:pPr>
            <w:r w:rsidRPr="00280449">
              <w:rPr>
                <w:rFonts w:eastAsiaTheme="minorHAnsi"/>
                <w:color w:val="000000"/>
                <w:szCs w:val="22"/>
                <w:lang w:val="en-GB"/>
              </w:rPr>
              <w:t>Carry out levelling operations</w:t>
            </w:r>
            <w:r w:rsidRPr="00280449">
              <w:rPr>
                <w:rFonts w:ascii="MS Mincho" w:eastAsia="MS Mincho" w:hAnsi="MS Mincho" w:cs="MS Mincho"/>
                <w:color w:val="000000"/>
                <w:szCs w:val="22"/>
                <w:lang w:val="en-GB"/>
              </w:rPr>
              <w:t> </w:t>
            </w:r>
          </w:p>
        </w:tc>
      </w:tr>
      <w:tr w:rsidR="001319CF" w:rsidRPr="00663A86" w14:paraId="30D7754C" w14:textId="77777777" w:rsidTr="00280449">
        <w:trPr>
          <w:trHeight w:val="320"/>
        </w:trPr>
        <w:tc>
          <w:tcPr>
            <w:tcW w:w="1696" w:type="dxa"/>
            <w:noWrap/>
          </w:tcPr>
          <w:p w14:paraId="1BC68E9D" w14:textId="66568D5D" w:rsidR="001319CF" w:rsidRPr="00280449" w:rsidRDefault="00663A86" w:rsidP="00663A86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eastAsiaTheme="minorHAnsi" w:cs="Times"/>
                <w:color w:val="000000"/>
                <w:szCs w:val="22"/>
                <w:lang w:val="en-GB"/>
              </w:rPr>
            </w:pPr>
            <w:r w:rsidRPr="00280449">
              <w:rPr>
                <w:rFonts w:eastAsiaTheme="minorHAnsi"/>
                <w:color w:val="000000"/>
                <w:szCs w:val="22"/>
                <w:lang w:val="en-GB"/>
              </w:rPr>
              <w:t>CPCCJN31</w:t>
            </w:r>
            <w:r w:rsidR="00140783">
              <w:rPr>
                <w:rFonts w:eastAsiaTheme="minorHAnsi"/>
                <w:color w:val="000000"/>
                <w:szCs w:val="22"/>
                <w:lang w:val="en-GB"/>
              </w:rPr>
              <w:t>00</w:t>
            </w:r>
          </w:p>
        </w:tc>
        <w:tc>
          <w:tcPr>
            <w:tcW w:w="7802" w:type="dxa"/>
            <w:noWrap/>
          </w:tcPr>
          <w:p w14:paraId="2B59D89B" w14:textId="0517F469" w:rsidR="001319CF" w:rsidRPr="00280449" w:rsidRDefault="00663A86" w:rsidP="00663A86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eastAsiaTheme="minorHAnsi" w:cs="Times"/>
                <w:color w:val="000000"/>
                <w:szCs w:val="22"/>
                <w:lang w:val="en-GB"/>
              </w:rPr>
            </w:pPr>
            <w:r w:rsidRPr="00280449">
              <w:rPr>
                <w:rFonts w:eastAsiaTheme="minorHAnsi"/>
                <w:color w:val="000000"/>
                <w:szCs w:val="22"/>
                <w:lang w:val="en-GB"/>
              </w:rPr>
              <w:t xml:space="preserve">Process materials to produce components using static machines </w:t>
            </w:r>
          </w:p>
        </w:tc>
      </w:tr>
      <w:tr w:rsidR="001319CF" w:rsidRPr="00663A86" w14:paraId="05D2E5B9" w14:textId="77777777" w:rsidTr="00280449">
        <w:trPr>
          <w:trHeight w:val="320"/>
        </w:trPr>
        <w:tc>
          <w:tcPr>
            <w:tcW w:w="1696" w:type="dxa"/>
            <w:shd w:val="clear" w:color="auto" w:fill="auto"/>
            <w:noWrap/>
          </w:tcPr>
          <w:p w14:paraId="0D471A81" w14:textId="3DBD216B" w:rsidR="001319CF" w:rsidRPr="00280449" w:rsidRDefault="00663A86" w:rsidP="00663A86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eastAsiaTheme="minorHAnsi" w:cs="Times"/>
                <w:color w:val="000000"/>
                <w:szCs w:val="22"/>
                <w:lang w:val="en-GB"/>
              </w:rPr>
            </w:pPr>
            <w:r w:rsidRPr="00280449">
              <w:rPr>
                <w:rFonts w:eastAsiaTheme="minorHAnsi"/>
                <w:color w:val="000000"/>
                <w:szCs w:val="22"/>
                <w:lang w:val="en-GB"/>
              </w:rPr>
              <w:t>CPC</w:t>
            </w:r>
            <w:r w:rsidR="004007A8" w:rsidRPr="00280449">
              <w:rPr>
                <w:rFonts w:eastAsiaTheme="minorHAnsi"/>
                <w:color w:val="000000"/>
                <w:szCs w:val="22"/>
                <w:lang w:val="en-GB"/>
              </w:rPr>
              <w:t>SHP</w:t>
            </w:r>
            <w:r w:rsidRPr="00280449">
              <w:rPr>
                <w:rFonts w:eastAsiaTheme="minorHAnsi"/>
                <w:color w:val="000000"/>
                <w:szCs w:val="22"/>
                <w:lang w:val="en-GB"/>
              </w:rPr>
              <w:t>3001</w:t>
            </w:r>
          </w:p>
        </w:tc>
        <w:tc>
          <w:tcPr>
            <w:tcW w:w="7802" w:type="dxa"/>
            <w:shd w:val="clear" w:color="auto" w:fill="auto"/>
            <w:noWrap/>
          </w:tcPr>
          <w:p w14:paraId="7BD06C2D" w14:textId="2E2AE86B" w:rsidR="001319CF" w:rsidRPr="00280449" w:rsidRDefault="00663A86" w:rsidP="00663A86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eastAsiaTheme="minorHAnsi" w:cs="Times"/>
                <w:color w:val="000000"/>
                <w:szCs w:val="22"/>
                <w:lang w:val="en-GB"/>
              </w:rPr>
            </w:pPr>
            <w:r w:rsidRPr="00280449">
              <w:rPr>
                <w:rFonts w:eastAsiaTheme="minorHAnsi"/>
                <w:color w:val="000000"/>
                <w:szCs w:val="22"/>
                <w:lang w:val="en-GB"/>
              </w:rPr>
              <w:t xml:space="preserve">Fabricate shopfitting components using CNC machines </w:t>
            </w:r>
          </w:p>
        </w:tc>
      </w:tr>
      <w:tr w:rsidR="001319CF" w:rsidRPr="00663A86" w14:paraId="3217A4EB" w14:textId="77777777" w:rsidTr="00280449">
        <w:trPr>
          <w:trHeight w:val="320"/>
        </w:trPr>
        <w:tc>
          <w:tcPr>
            <w:tcW w:w="1696" w:type="dxa"/>
            <w:shd w:val="clear" w:color="auto" w:fill="auto"/>
            <w:noWrap/>
          </w:tcPr>
          <w:p w14:paraId="3EA899E0" w14:textId="7A8F02B9" w:rsidR="001319CF" w:rsidRPr="00280449" w:rsidRDefault="00663A86" w:rsidP="00663A86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eastAsiaTheme="minorHAnsi" w:cs="Times"/>
                <w:color w:val="000000"/>
                <w:szCs w:val="22"/>
                <w:lang w:val="en-GB"/>
              </w:rPr>
            </w:pPr>
            <w:r w:rsidRPr="00280449">
              <w:rPr>
                <w:rFonts w:eastAsiaTheme="minorHAnsi"/>
                <w:color w:val="000000"/>
                <w:szCs w:val="22"/>
                <w:lang w:val="en-GB"/>
              </w:rPr>
              <w:t>CPC</w:t>
            </w:r>
            <w:r w:rsidR="004007A8" w:rsidRPr="00280449">
              <w:rPr>
                <w:rFonts w:eastAsiaTheme="minorHAnsi"/>
                <w:color w:val="000000"/>
                <w:szCs w:val="22"/>
                <w:lang w:val="en-GB"/>
              </w:rPr>
              <w:t>SHP</w:t>
            </w:r>
            <w:r w:rsidRPr="00280449">
              <w:rPr>
                <w:rFonts w:eastAsiaTheme="minorHAnsi"/>
                <w:color w:val="000000"/>
                <w:szCs w:val="22"/>
                <w:lang w:val="en-GB"/>
              </w:rPr>
              <w:t>3002</w:t>
            </w:r>
          </w:p>
        </w:tc>
        <w:tc>
          <w:tcPr>
            <w:tcW w:w="7802" w:type="dxa"/>
            <w:noWrap/>
          </w:tcPr>
          <w:p w14:paraId="6524066E" w14:textId="5964513C" w:rsidR="001319CF" w:rsidRPr="00280449" w:rsidRDefault="00663A86" w:rsidP="00663A86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eastAsiaTheme="minorHAnsi" w:cs="Times"/>
                <w:color w:val="000000"/>
                <w:szCs w:val="22"/>
                <w:lang w:val="en-GB"/>
              </w:rPr>
            </w:pPr>
            <w:r w:rsidRPr="00280449">
              <w:rPr>
                <w:rFonts w:eastAsiaTheme="minorHAnsi"/>
                <w:color w:val="000000"/>
                <w:szCs w:val="22"/>
                <w:lang w:val="en-GB"/>
              </w:rPr>
              <w:t xml:space="preserve">Fabricate and assemble shopfront structures </w:t>
            </w:r>
          </w:p>
        </w:tc>
      </w:tr>
      <w:tr w:rsidR="00663A86" w:rsidRPr="00663A86" w14:paraId="779894EB" w14:textId="77777777" w:rsidTr="00280449">
        <w:trPr>
          <w:trHeight w:val="320"/>
        </w:trPr>
        <w:tc>
          <w:tcPr>
            <w:tcW w:w="1696" w:type="dxa"/>
            <w:noWrap/>
          </w:tcPr>
          <w:p w14:paraId="57D94A43" w14:textId="4AF2CCE8" w:rsidR="00663A86" w:rsidRPr="00280449" w:rsidRDefault="00663A86" w:rsidP="00663A86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eastAsiaTheme="minorHAnsi" w:cs="Times"/>
                <w:color w:val="000000"/>
                <w:szCs w:val="22"/>
                <w:lang w:val="en-GB"/>
              </w:rPr>
            </w:pPr>
            <w:r w:rsidRPr="00280449">
              <w:rPr>
                <w:rFonts w:eastAsiaTheme="minorHAnsi"/>
                <w:color w:val="000000"/>
                <w:szCs w:val="22"/>
                <w:lang w:val="en-GB"/>
              </w:rPr>
              <w:t>CPC</w:t>
            </w:r>
            <w:r w:rsidR="004007A8" w:rsidRPr="00280449">
              <w:rPr>
                <w:rFonts w:eastAsiaTheme="minorHAnsi"/>
                <w:color w:val="000000"/>
                <w:szCs w:val="22"/>
                <w:lang w:val="en-GB"/>
              </w:rPr>
              <w:t>SHP</w:t>
            </w:r>
            <w:r w:rsidRPr="00280449">
              <w:rPr>
                <w:rFonts w:eastAsiaTheme="minorHAnsi"/>
                <w:color w:val="000000"/>
                <w:szCs w:val="22"/>
                <w:lang w:val="en-GB"/>
              </w:rPr>
              <w:t>3003</w:t>
            </w:r>
          </w:p>
        </w:tc>
        <w:tc>
          <w:tcPr>
            <w:tcW w:w="7802" w:type="dxa"/>
            <w:noWrap/>
          </w:tcPr>
          <w:p w14:paraId="4602E1AD" w14:textId="7B7B1ADC" w:rsidR="00663A86" w:rsidRPr="00280449" w:rsidRDefault="00663A86" w:rsidP="00663A86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eastAsiaTheme="minorHAnsi" w:cs="Times"/>
                <w:color w:val="000000"/>
                <w:szCs w:val="22"/>
                <w:lang w:val="en-GB"/>
              </w:rPr>
            </w:pPr>
            <w:r w:rsidRPr="00280449">
              <w:rPr>
                <w:rFonts w:eastAsiaTheme="minorHAnsi"/>
                <w:color w:val="000000"/>
                <w:szCs w:val="22"/>
                <w:lang w:val="en-GB"/>
              </w:rPr>
              <w:t xml:space="preserve">Assemble and install shopfront structures </w:t>
            </w:r>
          </w:p>
        </w:tc>
      </w:tr>
      <w:tr w:rsidR="00663A86" w:rsidRPr="00663A86" w14:paraId="53C33B6C" w14:textId="77777777" w:rsidTr="00280449">
        <w:trPr>
          <w:trHeight w:val="320"/>
        </w:trPr>
        <w:tc>
          <w:tcPr>
            <w:tcW w:w="1696" w:type="dxa"/>
            <w:noWrap/>
          </w:tcPr>
          <w:p w14:paraId="13A95CAD" w14:textId="724A7DEC" w:rsidR="00663A86" w:rsidRPr="00663A86" w:rsidRDefault="00663A86" w:rsidP="00663A86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eastAsiaTheme="minorHAnsi" w:cs="Times"/>
                <w:color w:val="000000"/>
                <w:szCs w:val="22"/>
                <w:lang w:val="en-GB"/>
              </w:rPr>
            </w:pPr>
            <w:r w:rsidRPr="00663A86">
              <w:rPr>
                <w:rFonts w:eastAsiaTheme="minorHAnsi"/>
                <w:color w:val="000000"/>
                <w:szCs w:val="22"/>
                <w:lang w:val="en-GB"/>
              </w:rPr>
              <w:t>CPC</w:t>
            </w:r>
            <w:r w:rsidR="00B7698E">
              <w:rPr>
                <w:rFonts w:eastAsiaTheme="minorHAnsi"/>
                <w:color w:val="000000"/>
                <w:szCs w:val="22"/>
                <w:lang w:val="en-GB"/>
              </w:rPr>
              <w:t>SHP</w:t>
            </w:r>
            <w:r w:rsidRPr="00663A86">
              <w:rPr>
                <w:rFonts w:eastAsiaTheme="minorHAnsi"/>
                <w:color w:val="000000"/>
                <w:szCs w:val="22"/>
                <w:lang w:val="en-GB"/>
              </w:rPr>
              <w:t>3004</w:t>
            </w:r>
          </w:p>
        </w:tc>
        <w:tc>
          <w:tcPr>
            <w:tcW w:w="7802" w:type="dxa"/>
            <w:noWrap/>
          </w:tcPr>
          <w:p w14:paraId="63552041" w14:textId="33E85502" w:rsidR="00663A86" w:rsidRPr="00663A86" w:rsidRDefault="00663A86" w:rsidP="00663A86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eastAsiaTheme="minorHAnsi" w:cs="Times"/>
                <w:color w:val="000000"/>
                <w:szCs w:val="22"/>
                <w:lang w:val="en-GB"/>
              </w:rPr>
            </w:pPr>
            <w:r w:rsidRPr="00663A86">
              <w:rPr>
                <w:rFonts w:eastAsiaTheme="minorHAnsi"/>
                <w:color w:val="000000"/>
                <w:szCs w:val="22"/>
                <w:lang w:val="en-GB"/>
              </w:rPr>
              <w:t xml:space="preserve">Assemble internal shopfitting units and prepare for transport </w:t>
            </w:r>
          </w:p>
        </w:tc>
      </w:tr>
      <w:tr w:rsidR="00663A86" w:rsidRPr="00663A86" w14:paraId="67D3556F" w14:textId="77777777" w:rsidTr="00280449">
        <w:trPr>
          <w:trHeight w:val="320"/>
        </w:trPr>
        <w:tc>
          <w:tcPr>
            <w:tcW w:w="1696" w:type="dxa"/>
            <w:noWrap/>
          </w:tcPr>
          <w:p w14:paraId="4FB88B9D" w14:textId="6F812FD7" w:rsidR="00663A86" w:rsidRPr="00663A86" w:rsidRDefault="00663A86" w:rsidP="00663A86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eastAsiaTheme="minorHAnsi" w:cs="Times"/>
                <w:color w:val="000000"/>
                <w:szCs w:val="22"/>
                <w:lang w:val="en-GB"/>
              </w:rPr>
            </w:pPr>
            <w:r w:rsidRPr="00663A86">
              <w:rPr>
                <w:rFonts w:eastAsiaTheme="minorHAnsi"/>
                <w:color w:val="000000"/>
                <w:szCs w:val="22"/>
                <w:lang w:val="en-GB"/>
              </w:rPr>
              <w:t>CPC</w:t>
            </w:r>
            <w:r w:rsidR="00B7698E">
              <w:rPr>
                <w:rFonts w:eastAsiaTheme="minorHAnsi"/>
                <w:color w:val="000000"/>
                <w:szCs w:val="22"/>
                <w:lang w:val="en-GB"/>
              </w:rPr>
              <w:t>SHP</w:t>
            </w:r>
            <w:r w:rsidRPr="00663A86">
              <w:rPr>
                <w:rFonts w:eastAsiaTheme="minorHAnsi"/>
                <w:color w:val="000000"/>
                <w:szCs w:val="22"/>
                <w:lang w:val="en-GB"/>
              </w:rPr>
              <w:t>3005</w:t>
            </w:r>
          </w:p>
        </w:tc>
        <w:tc>
          <w:tcPr>
            <w:tcW w:w="7802" w:type="dxa"/>
            <w:noWrap/>
          </w:tcPr>
          <w:p w14:paraId="75D0D6F4" w14:textId="3C9AADCF" w:rsidR="00663A86" w:rsidRPr="00663A86" w:rsidRDefault="00663A86" w:rsidP="00663A86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eastAsiaTheme="minorHAnsi" w:cs="Times"/>
                <w:color w:val="000000"/>
                <w:szCs w:val="22"/>
                <w:lang w:val="en-GB"/>
              </w:rPr>
            </w:pPr>
            <w:r w:rsidRPr="00663A86">
              <w:rPr>
                <w:rFonts w:eastAsiaTheme="minorHAnsi"/>
                <w:color w:val="000000"/>
                <w:szCs w:val="22"/>
                <w:lang w:val="en-GB"/>
              </w:rPr>
              <w:t xml:space="preserve">Apply and trim decorative additions to shopfittings and components </w:t>
            </w:r>
          </w:p>
        </w:tc>
      </w:tr>
      <w:tr w:rsidR="00663A86" w:rsidRPr="00663A86" w14:paraId="027A6A1D" w14:textId="77777777" w:rsidTr="00280449">
        <w:trPr>
          <w:trHeight w:val="320"/>
        </w:trPr>
        <w:tc>
          <w:tcPr>
            <w:tcW w:w="1696" w:type="dxa"/>
            <w:noWrap/>
          </w:tcPr>
          <w:p w14:paraId="1F70818E" w14:textId="48B63AD0" w:rsidR="00663A86" w:rsidRPr="00663A86" w:rsidRDefault="00663A86" w:rsidP="00663A86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eastAsiaTheme="minorHAnsi" w:cs="Times"/>
                <w:color w:val="000000"/>
                <w:szCs w:val="22"/>
                <w:lang w:val="en-GB"/>
              </w:rPr>
            </w:pPr>
            <w:r w:rsidRPr="00663A86">
              <w:rPr>
                <w:rFonts w:eastAsiaTheme="minorHAnsi"/>
                <w:color w:val="000000"/>
                <w:szCs w:val="22"/>
                <w:lang w:val="en-GB"/>
              </w:rPr>
              <w:t>CPC</w:t>
            </w:r>
            <w:r w:rsidR="00B7698E">
              <w:rPr>
                <w:rFonts w:eastAsiaTheme="minorHAnsi"/>
                <w:color w:val="000000"/>
                <w:szCs w:val="22"/>
                <w:lang w:val="en-GB"/>
              </w:rPr>
              <w:t>SHP</w:t>
            </w:r>
            <w:r w:rsidRPr="00663A86">
              <w:rPr>
                <w:rFonts w:eastAsiaTheme="minorHAnsi"/>
                <w:color w:val="000000"/>
                <w:szCs w:val="22"/>
                <w:lang w:val="en-GB"/>
              </w:rPr>
              <w:t>3007</w:t>
            </w:r>
          </w:p>
        </w:tc>
        <w:tc>
          <w:tcPr>
            <w:tcW w:w="7802" w:type="dxa"/>
            <w:noWrap/>
          </w:tcPr>
          <w:p w14:paraId="3A26EDB7" w14:textId="6105A234" w:rsidR="00663A86" w:rsidRPr="00663A86" w:rsidRDefault="00663A86" w:rsidP="00663A86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eastAsiaTheme="minorHAnsi" w:cs="Times"/>
                <w:color w:val="000000"/>
                <w:szCs w:val="22"/>
                <w:lang w:val="en-GB"/>
              </w:rPr>
            </w:pPr>
            <w:r w:rsidRPr="00663A86">
              <w:rPr>
                <w:rFonts w:eastAsiaTheme="minorHAnsi"/>
                <w:color w:val="000000"/>
                <w:szCs w:val="22"/>
                <w:lang w:val="en-GB"/>
              </w:rPr>
              <w:t>Install prefabricated internal shopfitting units</w:t>
            </w:r>
            <w:r w:rsidRPr="00663A86">
              <w:rPr>
                <w:rFonts w:ascii="MS Mincho" w:eastAsia="MS Mincho" w:hAnsi="MS Mincho" w:cs="MS Mincho"/>
                <w:color w:val="000000"/>
                <w:szCs w:val="22"/>
                <w:lang w:val="en-GB"/>
              </w:rPr>
              <w:t> </w:t>
            </w:r>
          </w:p>
        </w:tc>
      </w:tr>
      <w:tr w:rsidR="00663A86" w:rsidRPr="00663A86" w14:paraId="1A590AE2" w14:textId="77777777" w:rsidTr="00280449">
        <w:trPr>
          <w:trHeight w:val="320"/>
        </w:trPr>
        <w:tc>
          <w:tcPr>
            <w:tcW w:w="1696" w:type="dxa"/>
            <w:noWrap/>
          </w:tcPr>
          <w:p w14:paraId="408C5C67" w14:textId="3F20C3F2" w:rsidR="00663A86" w:rsidRPr="00663A86" w:rsidRDefault="00663A86" w:rsidP="00663A86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eastAsiaTheme="minorHAnsi" w:cs="Times"/>
                <w:color w:val="000000"/>
                <w:szCs w:val="22"/>
                <w:lang w:val="en-GB"/>
              </w:rPr>
            </w:pPr>
            <w:r w:rsidRPr="00663A86">
              <w:rPr>
                <w:rFonts w:eastAsiaTheme="minorHAnsi"/>
                <w:color w:val="000000"/>
                <w:szCs w:val="22"/>
                <w:lang w:val="en-GB"/>
              </w:rPr>
              <w:t>CPC</w:t>
            </w:r>
            <w:r w:rsidR="00B7698E">
              <w:rPr>
                <w:rFonts w:eastAsiaTheme="minorHAnsi"/>
                <w:color w:val="000000"/>
                <w:szCs w:val="22"/>
                <w:lang w:val="en-GB"/>
              </w:rPr>
              <w:t>SHP</w:t>
            </w:r>
            <w:r w:rsidRPr="00663A86">
              <w:rPr>
                <w:rFonts w:eastAsiaTheme="minorHAnsi"/>
                <w:color w:val="000000"/>
                <w:szCs w:val="22"/>
                <w:lang w:val="en-GB"/>
              </w:rPr>
              <w:t>3008</w:t>
            </w:r>
          </w:p>
        </w:tc>
        <w:tc>
          <w:tcPr>
            <w:tcW w:w="7802" w:type="dxa"/>
            <w:noWrap/>
          </w:tcPr>
          <w:p w14:paraId="63C1BC13" w14:textId="30EC1650" w:rsidR="00663A86" w:rsidRPr="00663A86" w:rsidRDefault="00663A86" w:rsidP="00663A86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eastAsiaTheme="minorHAnsi" w:cs="Times"/>
                <w:color w:val="000000"/>
                <w:szCs w:val="22"/>
                <w:lang w:val="en-GB"/>
              </w:rPr>
            </w:pPr>
            <w:r w:rsidRPr="00663A86">
              <w:rPr>
                <w:rFonts w:eastAsiaTheme="minorHAnsi"/>
                <w:color w:val="000000"/>
                <w:szCs w:val="22"/>
                <w:lang w:val="en-GB"/>
              </w:rPr>
              <w:t>Install internal shop walls and fixtures</w:t>
            </w:r>
            <w:r w:rsidRPr="00663A86">
              <w:rPr>
                <w:rFonts w:ascii="MS Mincho" w:eastAsia="MS Mincho" w:hAnsi="MS Mincho" w:cs="MS Mincho"/>
                <w:color w:val="000000"/>
                <w:szCs w:val="22"/>
                <w:lang w:val="en-GB"/>
              </w:rPr>
              <w:t> </w:t>
            </w:r>
          </w:p>
        </w:tc>
      </w:tr>
      <w:tr w:rsidR="00D90F55" w:rsidRPr="00663A86" w14:paraId="50ADA9BF" w14:textId="77777777" w:rsidTr="00280449">
        <w:trPr>
          <w:trHeight w:val="320"/>
        </w:trPr>
        <w:tc>
          <w:tcPr>
            <w:tcW w:w="1696" w:type="dxa"/>
            <w:noWrap/>
          </w:tcPr>
          <w:p w14:paraId="55D36629" w14:textId="408402DC" w:rsidR="00D90F55" w:rsidRPr="00F2244C" w:rsidRDefault="00D90F55" w:rsidP="00663A86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eastAsiaTheme="minorHAnsi" w:cs="Times"/>
                <w:szCs w:val="22"/>
                <w:lang w:val="en-GB"/>
              </w:rPr>
            </w:pPr>
            <w:r w:rsidRPr="00F2244C">
              <w:rPr>
                <w:rFonts w:asciiTheme="minorHAnsi" w:eastAsiaTheme="minorHAnsi" w:hAnsiTheme="minorHAnsi"/>
                <w:szCs w:val="22"/>
                <w:lang w:val="en-GB"/>
              </w:rPr>
              <w:t>CPC</w:t>
            </w:r>
            <w:r w:rsidR="002B7AB5">
              <w:rPr>
                <w:rFonts w:asciiTheme="minorHAnsi" w:eastAsiaTheme="minorHAnsi" w:hAnsiTheme="minorHAnsi"/>
                <w:szCs w:val="22"/>
                <w:lang w:val="en-GB"/>
              </w:rPr>
              <w:t>C</w:t>
            </w:r>
            <w:r w:rsidRPr="00F2244C">
              <w:rPr>
                <w:rFonts w:asciiTheme="minorHAnsi" w:eastAsiaTheme="minorHAnsi" w:hAnsiTheme="minorHAnsi"/>
                <w:szCs w:val="22"/>
                <w:lang w:val="en-GB"/>
              </w:rPr>
              <w:t>WHS2001</w:t>
            </w:r>
          </w:p>
        </w:tc>
        <w:tc>
          <w:tcPr>
            <w:tcW w:w="7802" w:type="dxa"/>
            <w:noWrap/>
          </w:tcPr>
          <w:p w14:paraId="2A030398" w14:textId="58890390" w:rsidR="00D90F55" w:rsidRPr="00F2244C" w:rsidRDefault="00C941AD" w:rsidP="006044D2">
            <w:pPr>
              <w:widowControl w:val="0"/>
              <w:autoSpaceDE w:val="0"/>
              <w:autoSpaceDN w:val="0"/>
              <w:adjustRightInd w:val="0"/>
              <w:spacing w:after="120" w:line="360" w:lineRule="atLeast"/>
              <w:rPr>
                <w:rFonts w:eastAsiaTheme="minorHAnsi"/>
                <w:szCs w:val="22"/>
                <w:lang w:val="en-GB"/>
              </w:rPr>
            </w:pPr>
            <w:r w:rsidRPr="00F2244C">
              <w:rPr>
                <w:rFonts w:asciiTheme="minorHAnsi" w:eastAsiaTheme="minorHAnsi" w:hAnsiTheme="minorHAnsi"/>
                <w:szCs w:val="22"/>
                <w:lang w:val="en-GB"/>
              </w:rPr>
              <w:t xml:space="preserve">Apply </w:t>
            </w:r>
            <w:r w:rsidR="00707CD5" w:rsidRPr="00F2244C">
              <w:rPr>
                <w:rFonts w:asciiTheme="minorHAnsi" w:eastAsiaTheme="minorHAnsi" w:hAnsiTheme="minorHAnsi"/>
                <w:szCs w:val="22"/>
                <w:lang w:val="en-GB"/>
              </w:rPr>
              <w:t>W</w:t>
            </w:r>
            <w:r w:rsidR="00D90F55" w:rsidRPr="00F2244C">
              <w:rPr>
                <w:rFonts w:asciiTheme="minorHAnsi" w:eastAsiaTheme="minorHAnsi" w:hAnsiTheme="minorHAnsi"/>
                <w:szCs w:val="22"/>
                <w:lang w:val="en-GB"/>
              </w:rPr>
              <w:t xml:space="preserve">HS requirements, policies and procedures in the construction industry </w:t>
            </w:r>
          </w:p>
        </w:tc>
      </w:tr>
    </w:tbl>
    <w:p w14:paraId="7119778F" w14:textId="77777777" w:rsidR="0091540A" w:rsidRPr="00F83D88" w:rsidRDefault="0091540A" w:rsidP="006A341C">
      <w:pPr>
        <w:rPr>
          <w:rFonts w:cs="Calibri"/>
          <w:szCs w:val="22"/>
        </w:rPr>
      </w:pPr>
    </w:p>
    <w:p w14:paraId="790C9990" w14:textId="5CF62487" w:rsidR="0091540A" w:rsidRPr="00E95C06" w:rsidRDefault="003017E7" w:rsidP="00E95C06">
      <w:pPr>
        <w:rPr>
          <w:b/>
          <w:bCs/>
          <w:shd w:val="clear" w:color="auto" w:fill="FFFFFF"/>
        </w:rPr>
      </w:pPr>
      <w:r w:rsidRPr="00E95C06">
        <w:rPr>
          <w:b/>
          <w:bCs/>
          <w:shd w:val="clear" w:color="auto" w:fill="FFFFFF"/>
        </w:rPr>
        <w:t>Group A</w:t>
      </w:r>
      <w:r w:rsidR="002B7AB5">
        <w:rPr>
          <w:b/>
          <w:bCs/>
          <w:shd w:val="clear" w:color="auto" w:fill="FFFFFF"/>
        </w:rPr>
        <w:t>: Specialist elective units</w:t>
      </w:r>
      <w:r w:rsidRPr="00E95C06">
        <w:rPr>
          <w:b/>
          <w:bCs/>
          <w:shd w:val="clear" w:color="auto" w:fill="FFFFFF"/>
        </w:rPr>
        <w:t xml:space="preserve"> </w:t>
      </w:r>
    </w:p>
    <w:p w14:paraId="291582E8" w14:textId="3797305B" w:rsidR="0091540A" w:rsidRDefault="0091540A">
      <w:pPr>
        <w:rPr>
          <w:rFonts w:cs="Calibri"/>
          <w:szCs w:val="22"/>
        </w:rPr>
      </w:pPr>
    </w:p>
    <w:tbl>
      <w:tblPr>
        <w:tblStyle w:val="TableGrid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7797"/>
      </w:tblGrid>
      <w:tr w:rsidR="00327A99" w:rsidRPr="00327A99" w14:paraId="48B1CE82" w14:textId="77777777" w:rsidTr="00280449">
        <w:trPr>
          <w:trHeight w:val="320"/>
        </w:trPr>
        <w:tc>
          <w:tcPr>
            <w:tcW w:w="1701" w:type="dxa"/>
            <w:noWrap/>
            <w:hideMark/>
          </w:tcPr>
          <w:p w14:paraId="4F6CE430" w14:textId="7B4298B8" w:rsidR="00327A99" w:rsidRPr="00F303FE" w:rsidRDefault="00663A86" w:rsidP="00663A86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eastAsiaTheme="minorHAnsi" w:cs="Times"/>
                <w:color w:val="000000"/>
                <w:szCs w:val="22"/>
                <w:lang w:val="en-GB"/>
              </w:rPr>
            </w:pPr>
            <w:r w:rsidRPr="00F303FE">
              <w:rPr>
                <w:rFonts w:eastAsiaTheme="minorHAnsi"/>
                <w:color w:val="000000"/>
                <w:szCs w:val="22"/>
                <w:lang w:val="en-GB"/>
              </w:rPr>
              <w:t>CPC</w:t>
            </w:r>
            <w:r w:rsidR="00B7698E">
              <w:rPr>
                <w:rFonts w:eastAsiaTheme="minorHAnsi"/>
                <w:color w:val="000000"/>
                <w:szCs w:val="22"/>
                <w:lang w:val="en-GB"/>
              </w:rPr>
              <w:t>SHP</w:t>
            </w:r>
            <w:r w:rsidRPr="00F303FE">
              <w:rPr>
                <w:rFonts w:eastAsiaTheme="minorHAnsi"/>
                <w:color w:val="000000"/>
                <w:szCs w:val="22"/>
                <w:lang w:val="en-GB"/>
              </w:rPr>
              <w:t>3006</w:t>
            </w:r>
          </w:p>
        </w:tc>
        <w:tc>
          <w:tcPr>
            <w:tcW w:w="7797" w:type="dxa"/>
            <w:noWrap/>
            <w:hideMark/>
          </w:tcPr>
          <w:p w14:paraId="1F7AE50C" w14:textId="778B16D9" w:rsidR="00327A99" w:rsidRPr="00F303FE" w:rsidRDefault="00663A86" w:rsidP="00663A86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eastAsiaTheme="minorHAnsi" w:cs="Times"/>
                <w:color w:val="000000"/>
                <w:szCs w:val="22"/>
                <w:lang w:val="en-GB"/>
              </w:rPr>
            </w:pPr>
            <w:r w:rsidRPr="00F303FE">
              <w:rPr>
                <w:rFonts w:eastAsiaTheme="minorHAnsi"/>
                <w:color w:val="000000"/>
                <w:szCs w:val="22"/>
                <w:lang w:val="en-GB"/>
              </w:rPr>
              <w:t xml:space="preserve">Prepare shopfittings and surfaces and apply liquid finishes </w:t>
            </w:r>
          </w:p>
        </w:tc>
      </w:tr>
      <w:tr w:rsidR="001319CF" w:rsidRPr="00327A99" w14:paraId="73AC3C61" w14:textId="77777777" w:rsidTr="00280449">
        <w:trPr>
          <w:trHeight w:val="320"/>
        </w:trPr>
        <w:tc>
          <w:tcPr>
            <w:tcW w:w="1701" w:type="dxa"/>
            <w:noWrap/>
          </w:tcPr>
          <w:p w14:paraId="342A6D17" w14:textId="7A2F14EC" w:rsidR="001319CF" w:rsidRPr="00F303FE" w:rsidRDefault="00663A86" w:rsidP="00663A86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eastAsiaTheme="minorHAnsi" w:cs="Times"/>
                <w:color w:val="000000"/>
                <w:szCs w:val="22"/>
                <w:lang w:val="en-GB"/>
              </w:rPr>
            </w:pPr>
            <w:r w:rsidRPr="00F303FE">
              <w:rPr>
                <w:rFonts w:eastAsiaTheme="minorHAnsi"/>
                <w:color w:val="000000"/>
                <w:szCs w:val="22"/>
                <w:lang w:val="en-GB"/>
              </w:rPr>
              <w:t>CPC</w:t>
            </w:r>
            <w:r w:rsidR="00B7698E">
              <w:rPr>
                <w:rFonts w:eastAsiaTheme="minorHAnsi"/>
                <w:color w:val="000000"/>
                <w:szCs w:val="22"/>
                <w:lang w:val="en-GB"/>
              </w:rPr>
              <w:t>SHP</w:t>
            </w:r>
            <w:r w:rsidRPr="00F303FE">
              <w:rPr>
                <w:rFonts w:eastAsiaTheme="minorHAnsi"/>
                <w:color w:val="000000"/>
                <w:szCs w:val="22"/>
                <w:lang w:val="en-GB"/>
              </w:rPr>
              <w:t>3009</w:t>
            </w:r>
          </w:p>
        </w:tc>
        <w:tc>
          <w:tcPr>
            <w:tcW w:w="7797" w:type="dxa"/>
            <w:noWrap/>
          </w:tcPr>
          <w:p w14:paraId="5AA7D53C" w14:textId="3D7F7241" w:rsidR="001319CF" w:rsidRPr="00F303FE" w:rsidRDefault="00663A86" w:rsidP="00663A86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eastAsiaTheme="minorHAnsi" w:cs="Times"/>
                <w:color w:val="000000"/>
                <w:szCs w:val="22"/>
                <w:lang w:val="en-GB"/>
              </w:rPr>
            </w:pPr>
            <w:r w:rsidRPr="00F303FE">
              <w:rPr>
                <w:rFonts w:eastAsiaTheme="minorHAnsi"/>
                <w:color w:val="000000"/>
                <w:szCs w:val="22"/>
                <w:lang w:val="en-GB"/>
              </w:rPr>
              <w:t>Demolish shopfronts and bulkheads</w:t>
            </w:r>
            <w:r w:rsidRPr="00F303FE">
              <w:rPr>
                <w:rFonts w:ascii="MS Mincho" w:eastAsia="MS Mincho" w:hAnsi="MS Mincho" w:cs="MS Mincho"/>
                <w:color w:val="000000"/>
                <w:szCs w:val="22"/>
                <w:lang w:val="en-GB"/>
              </w:rPr>
              <w:t> </w:t>
            </w:r>
          </w:p>
        </w:tc>
      </w:tr>
      <w:tr w:rsidR="001319CF" w:rsidRPr="00327A99" w14:paraId="7327293A" w14:textId="77777777" w:rsidTr="00280449">
        <w:trPr>
          <w:trHeight w:val="320"/>
        </w:trPr>
        <w:tc>
          <w:tcPr>
            <w:tcW w:w="1701" w:type="dxa"/>
            <w:noWrap/>
          </w:tcPr>
          <w:p w14:paraId="1C0A58ED" w14:textId="5E1A290A" w:rsidR="001319CF" w:rsidRPr="00F303FE" w:rsidRDefault="00663A86" w:rsidP="00663A86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eastAsiaTheme="minorHAnsi" w:cs="Times"/>
                <w:color w:val="000000"/>
                <w:szCs w:val="22"/>
                <w:lang w:val="en-GB"/>
              </w:rPr>
            </w:pPr>
            <w:r w:rsidRPr="00F303FE">
              <w:rPr>
                <w:rFonts w:eastAsiaTheme="minorHAnsi"/>
                <w:color w:val="000000"/>
                <w:szCs w:val="22"/>
                <w:lang w:val="en-GB"/>
              </w:rPr>
              <w:t>CPC</w:t>
            </w:r>
            <w:r w:rsidR="000E68DB">
              <w:rPr>
                <w:rFonts w:eastAsiaTheme="minorHAnsi"/>
                <w:color w:val="000000"/>
                <w:szCs w:val="22"/>
                <w:lang w:val="en-GB"/>
              </w:rPr>
              <w:t>SHP</w:t>
            </w:r>
            <w:r w:rsidRPr="00F303FE">
              <w:rPr>
                <w:rFonts w:eastAsiaTheme="minorHAnsi"/>
                <w:color w:val="000000"/>
                <w:szCs w:val="22"/>
                <w:lang w:val="en-GB"/>
              </w:rPr>
              <w:t>3010</w:t>
            </w:r>
          </w:p>
        </w:tc>
        <w:tc>
          <w:tcPr>
            <w:tcW w:w="7797" w:type="dxa"/>
            <w:noWrap/>
          </w:tcPr>
          <w:p w14:paraId="54023139" w14:textId="4F26A2FC" w:rsidR="001319CF" w:rsidRPr="00F303FE" w:rsidRDefault="00663A86" w:rsidP="00663A86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eastAsiaTheme="minorHAnsi" w:cs="Times"/>
                <w:color w:val="000000"/>
                <w:szCs w:val="22"/>
                <w:lang w:val="en-GB"/>
              </w:rPr>
            </w:pPr>
            <w:r w:rsidRPr="00F303FE">
              <w:rPr>
                <w:rFonts w:eastAsiaTheme="minorHAnsi"/>
                <w:color w:val="000000"/>
                <w:szCs w:val="22"/>
                <w:lang w:val="en-GB"/>
              </w:rPr>
              <w:t xml:space="preserve">Prepare shop floors for new coverings </w:t>
            </w:r>
          </w:p>
        </w:tc>
      </w:tr>
      <w:tr w:rsidR="001319CF" w:rsidRPr="00327A99" w14:paraId="1924F134" w14:textId="77777777" w:rsidTr="00280449">
        <w:trPr>
          <w:trHeight w:val="320"/>
        </w:trPr>
        <w:tc>
          <w:tcPr>
            <w:tcW w:w="1701" w:type="dxa"/>
            <w:noWrap/>
          </w:tcPr>
          <w:p w14:paraId="2CF6ACB3" w14:textId="0519873C" w:rsidR="001319CF" w:rsidRPr="00F303FE" w:rsidRDefault="00663A86" w:rsidP="00663A86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eastAsiaTheme="minorHAnsi" w:cs="Times"/>
                <w:color w:val="000000"/>
                <w:szCs w:val="22"/>
                <w:lang w:val="en-GB"/>
              </w:rPr>
            </w:pPr>
            <w:r w:rsidRPr="00F303FE">
              <w:rPr>
                <w:rFonts w:eastAsiaTheme="minorHAnsi"/>
                <w:color w:val="000000"/>
                <w:szCs w:val="22"/>
                <w:lang w:val="en-GB"/>
              </w:rPr>
              <w:t>CPCCWC3004</w:t>
            </w:r>
          </w:p>
        </w:tc>
        <w:tc>
          <w:tcPr>
            <w:tcW w:w="7797" w:type="dxa"/>
            <w:noWrap/>
          </w:tcPr>
          <w:p w14:paraId="0E4C1DEE" w14:textId="46C1B015" w:rsidR="001319CF" w:rsidRPr="00F303FE" w:rsidRDefault="00663A86" w:rsidP="00663A86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eastAsiaTheme="minorHAnsi" w:cs="Times"/>
                <w:color w:val="000000"/>
                <w:szCs w:val="22"/>
                <w:lang w:val="en-GB"/>
              </w:rPr>
            </w:pPr>
            <w:r w:rsidRPr="00F303FE">
              <w:rPr>
                <w:rFonts w:eastAsiaTheme="minorHAnsi"/>
                <w:color w:val="000000"/>
                <w:szCs w:val="22"/>
                <w:lang w:val="en-GB"/>
              </w:rPr>
              <w:t>Install suspended ceilings</w:t>
            </w:r>
            <w:r w:rsidRPr="00F303FE">
              <w:rPr>
                <w:rFonts w:ascii="MS Mincho" w:eastAsia="MS Mincho" w:hAnsi="MS Mincho" w:cs="MS Mincho"/>
                <w:color w:val="000000"/>
                <w:szCs w:val="22"/>
                <w:lang w:val="en-GB"/>
              </w:rPr>
              <w:t> </w:t>
            </w:r>
          </w:p>
        </w:tc>
      </w:tr>
      <w:tr w:rsidR="001319CF" w:rsidRPr="00327A99" w14:paraId="63F7CF5F" w14:textId="77777777" w:rsidTr="00280449">
        <w:trPr>
          <w:trHeight w:val="320"/>
        </w:trPr>
        <w:tc>
          <w:tcPr>
            <w:tcW w:w="1701" w:type="dxa"/>
            <w:noWrap/>
          </w:tcPr>
          <w:p w14:paraId="03F82A12" w14:textId="44F4F9A2" w:rsidR="001319CF" w:rsidRPr="00F303FE" w:rsidRDefault="00663A86" w:rsidP="00663A86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eastAsiaTheme="minorHAnsi" w:cs="Times"/>
                <w:color w:val="000000"/>
                <w:szCs w:val="22"/>
                <w:lang w:val="en-GB"/>
              </w:rPr>
            </w:pPr>
            <w:r w:rsidRPr="00F303FE">
              <w:rPr>
                <w:rFonts w:eastAsiaTheme="minorHAnsi"/>
                <w:color w:val="000000"/>
                <w:szCs w:val="22"/>
                <w:lang w:val="en-GB"/>
              </w:rPr>
              <w:t>MSFFM3009</w:t>
            </w:r>
          </w:p>
        </w:tc>
        <w:tc>
          <w:tcPr>
            <w:tcW w:w="7797" w:type="dxa"/>
            <w:noWrap/>
          </w:tcPr>
          <w:p w14:paraId="6272AA30" w14:textId="716C52C4" w:rsidR="001319CF" w:rsidRPr="00F303FE" w:rsidRDefault="00F303FE" w:rsidP="00F303FE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eastAsiaTheme="minorHAnsi" w:cs="Times"/>
                <w:color w:val="000000"/>
                <w:szCs w:val="22"/>
                <w:lang w:val="en-GB"/>
              </w:rPr>
            </w:pPr>
            <w:r w:rsidRPr="00F303FE">
              <w:rPr>
                <w:rFonts w:eastAsiaTheme="minorHAnsi"/>
                <w:color w:val="000000"/>
                <w:szCs w:val="22"/>
                <w:lang w:val="en-GB"/>
              </w:rPr>
              <w:t xml:space="preserve">Produce manual and computer-aided production drawings </w:t>
            </w:r>
          </w:p>
        </w:tc>
      </w:tr>
      <w:tr w:rsidR="00F303FE" w:rsidRPr="00327A99" w14:paraId="63F51EEB" w14:textId="77777777" w:rsidTr="00280449">
        <w:trPr>
          <w:trHeight w:val="320"/>
        </w:trPr>
        <w:tc>
          <w:tcPr>
            <w:tcW w:w="1701" w:type="dxa"/>
            <w:noWrap/>
          </w:tcPr>
          <w:p w14:paraId="61A4495F" w14:textId="37409DDD" w:rsidR="00F303FE" w:rsidRPr="00F303FE" w:rsidRDefault="00F303FE" w:rsidP="00663A86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eastAsiaTheme="minorHAnsi" w:cs="Times"/>
                <w:color w:val="000000"/>
                <w:szCs w:val="22"/>
                <w:lang w:val="en-GB"/>
              </w:rPr>
            </w:pPr>
            <w:r w:rsidRPr="00F303FE">
              <w:rPr>
                <w:rFonts w:eastAsiaTheme="minorHAnsi"/>
                <w:color w:val="000000"/>
                <w:szCs w:val="22"/>
                <w:lang w:val="en-GB"/>
              </w:rPr>
              <w:t>MSFFM3011</w:t>
            </w:r>
          </w:p>
        </w:tc>
        <w:tc>
          <w:tcPr>
            <w:tcW w:w="7797" w:type="dxa"/>
            <w:noWrap/>
          </w:tcPr>
          <w:p w14:paraId="769F9A73" w14:textId="792AA1BA" w:rsidR="00F303FE" w:rsidRPr="00F303FE" w:rsidRDefault="00F303FE" w:rsidP="00F303FE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eastAsiaTheme="minorHAnsi" w:cs="Times"/>
                <w:color w:val="000000"/>
                <w:szCs w:val="22"/>
                <w:lang w:val="en-GB"/>
              </w:rPr>
            </w:pPr>
            <w:r w:rsidRPr="00F303FE">
              <w:rPr>
                <w:rFonts w:eastAsiaTheme="minorHAnsi"/>
                <w:color w:val="000000"/>
                <w:szCs w:val="22"/>
                <w:lang w:val="en-GB"/>
              </w:rPr>
              <w:t xml:space="preserve">Measure and draw site layout for manufactured furniture products </w:t>
            </w:r>
          </w:p>
        </w:tc>
      </w:tr>
      <w:tr w:rsidR="00A17591" w:rsidRPr="00327A99" w14:paraId="024DC5E1" w14:textId="77777777" w:rsidTr="00280449">
        <w:trPr>
          <w:trHeight w:val="320"/>
        </w:trPr>
        <w:tc>
          <w:tcPr>
            <w:tcW w:w="1701" w:type="dxa"/>
            <w:noWrap/>
          </w:tcPr>
          <w:p w14:paraId="791FAED8" w14:textId="7CACF2FF" w:rsidR="00A17591" w:rsidRPr="00F2244C" w:rsidRDefault="00A17591" w:rsidP="00663A86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eastAsiaTheme="minorHAnsi"/>
                <w:szCs w:val="22"/>
                <w:lang w:val="en-GB"/>
              </w:rPr>
            </w:pPr>
            <w:r w:rsidRPr="00F2244C">
              <w:rPr>
                <w:rFonts w:eastAsiaTheme="minorHAnsi"/>
                <w:szCs w:val="22"/>
                <w:lang w:val="en-GB"/>
              </w:rPr>
              <w:t>MSFFM3019</w:t>
            </w:r>
          </w:p>
        </w:tc>
        <w:tc>
          <w:tcPr>
            <w:tcW w:w="7797" w:type="dxa"/>
            <w:noWrap/>
          </w:tcPr>
          <w:p w14:paraId="4F837C8B" w14:textId="789E5200" w:rsidR="00A17591" w:rsidRPr="00F2244C" w:rsidRDefault="00A17591" w:rsidP="00F303FE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eastAsiaTheme="minorHAnsi"/>
                <w:szCs w:val="22"/>
                <w:lang w:val="en-GB"/>
              </w:rPr>
            </w:pPr>
            <w:r w:rsidRPr="00F2244C">
              <w:rPr>
                <w:rFonts w:eastAsiaTheme="minorHAnsi"/>
                <w:szCs w:val="22"/>
                <w:lang w:val="en-GB"/>
              </w:rPr>
              <w:t xml:space="preserve">Set up, operate and maintain automated </w:t>
            </w:r>
            <w:r w:rsidR="00806FA9" w:rsidRPr="00F2244C">
              <w:rPr>
                <w:rFonts w:eastAsiaTheme="minorHAnsi"/>
                <w:szCs w:val="22"/>
                <w:lang w:val="en-GB"/>
              </w:rPr>
              <w:t xml:space="preserve">edge </w:t>
            </w:r>
            <w:r w:rsidRPr="00F2244C">
              <w:rPr>
                <w:rFonts w:eastAsiaTheme="minorHAnsi"/>
                <w:szCs w:val="22"/>
                <w:lang w:val="en-GB"/>
              </w:rPr>
              <w:t>banding machines</w:t>
            </w:r>
          </w:p>
        </w:tc>
      </w:tr>
      <w:tr w:rsidR="00F303FE" w:rsidRPr="00327A99" w14:paraId="25AFE0CB" w14:textId="77777777" w:rsidTr="00280449">
        <w:trPr>
          <w:trHeight w:val="320"/>
        </w:trPr>
        <w:tc>
          <w:tcPr>
            <w:tcW w:w="1701" w:type="dxa"/>
            <w:noWrap/>
          </w:tcPr>
          <w:p w14:paraId="45661487" w14:textId="5816E955" w:rsidR="00F303FE" w:rsidRPr="00F303FE" w:rsidRDefault="00F303FE" w:rsidP="00663A86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eastAsiaTheme="minorHAnsi" w:cs="Times"/>
                <w:color w:val="000000"/>
                <w:szCs w:val="22"/>
                <w:lang w:val="en-GB"/>
              </w:rPr>
            </w:pPr>
            <w:r w:rsidRPr="00F303FE">
              <w:rPr>
                <w:rFonts w:eastAsiaTheme="minorHAnsi"/>
                <w:color w:val="000000"/>
                <w:szCs w:val="22"/>
                <w:lang w:val="en-GB"/>
              </w:rPr>
              <w:t>MSFFM3020</w:t>
            </w:r>
          </w:p>
        </w:tc>
        <w:tc>
          <w:tcPr>
            <w:tcW w:w="7797" w:type="dxa"/>
            <w:noWrap/>
          </w:tcPr>
          <w:p w14:paraId="782E5CED" w14:textId="01C76E84" w:rsidR="00F303FE" w:rsidRPr="00F303FE" w:rsidRDefault="00F303FE" w:rsidP="00F303FE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eastAsiaTheme="minorHAnsi" w:cs="Times"/>
                <w:color w:val="000000"/>
                <w:szCs w:val="22"/>
                <w:lang w:val="en-GB"/>
              </w:rPr>
            </w:pPr>
            <w:r w:rsidRPr="00F303FE">
              <w:rPr>
                <w:rFonts w:eastAsiaTheme="minorHAnsi"/>
                <w:color w:val="000000"/>
                <w:szCs w:val="22"/>
                <w:lang w:val="en-GB"/>
              </w:rPr>
              <w:t>Fabricate synthetic solid surface products</w:t>
            </w:r>
            <w:r w:rsidRPr="00F303FE">
              <w:rPr>
                <w:rFonts w:ascii="MS Mincho" w:eastAsia="MS Mincho" w:hAnsi="MS Mincho" w:cs="MS Mincho"/>
                <w:color w:val="000000"/>
                <w:szCs w:val="22"/>
                <w:lang w:val="en-GB"/>
              </w:rPr>
              <w:t> </w:t>
            </w:r>
          </w:p>
        </w:tc>
      </w:tr>
      <w:tr w:rsidR="00F303FE" w:rsidRPr="00327A99" w14:paraId="4C5EBE87" w14:textId="77777777" w:rsidTr="00280449">
        <w:trPr>
          <w:trHeight w:val="320"/>
        </w:trPr>
        <w:tc>
          <w:tcPr>
            <w:tcW w:w="1701" w:type="dxa"/>
            <w:noWrap/>
          </w:tcPr>
          <w:p w14:paraId="071B3B23" w14:textId="6741884D" w:rsidR="00F303FE" w:rsidRPr="00F303FE" w:rsidRDefault="00F303FE" w:rsidP="00663A86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eastAsiaTheme="minorHAnsi" w:cs="Times"/>
                <w:color w:val="000000"/>
                <w:szCs w:val="22"/>
                <w:lang w:val="en-GB"/>
              </w:rPr>
            </w:pPr>
            <w:r w:rsidRPr="00F303FE">
              <w:rPr>
                <w:rFonts w:eastAsiaTheme="minorHAnsi"/>
                <w:color w:val="000000"/>
                <w:szCs w:val="22"/>
                <w:lang w:val="en-GB"/>
              </w:rPr>
              <w:t>MSFGG3036</w:t>
            </w:r>
          </w:p>
        </w:tc>
        <w:tc>
          <w:tcPr>
            <w:tcW w:w="7797" w:type="dxa"/>
            <w:noWrap/>
          </w:tcPr>
          <w:p w14:paraId="3AB85341" w14:textId="55AA0265" w:rsidR="00F303FE" w:rsidRPr="00F303FE" w:rsidRDefault="00F303FE" w:rsidP="00F303FE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eastAsiaTheme="minorHAnsi" w:cs="Times"/>
                <w:color w:val="000000"/>
                <w:szCs w:val="22"/>
                <w:lang w:val="en-GB"/>
              </w:rPr>
            </w:pPr>
            <w:r w:rsidRPr="00F303FE">
              <w:rPr>
                <w:rFonts w:eastAsiaTheme="minorHAnsi"/>
                <w:color w:val="000000"/>
                <w:szCs w:val="22"/>
                <w:lang w:val="en-GB"/>
              </w:rPr>
              <w:t xml:space="preserve">Install commercial glazing products </w:t>
            </w:r>
          </w:p>
        </w:tc>
      </w:tr>
    </w:tbl>
    <w:p w14:paraId="3E26DE10" w14:textId="77777777" w:rsidR="00327A99" w:rsidRDefault="00327A99"/>
    <w:p w14:paraId="394BCEC1" w14:textId="598AEB40" w:rsidR="0091540A" w:rsidRPr="00E95C06" w:rsidRDefault="003017E7" w:rsidP="00E95C06">
      <w:pPr>
        <w:rPr>
          <w:b/>
          <w:bCs/>
          <w:shd w:val="clear" w:color="auto" w:fill="FFFFFF"/>
        </w:rPr>
      </w:pPr>
      <w:r w:rsidRPr="00E95C06">
        <w:rPr>
          <w:b/>
          <w:bCs/>
          <w:shd w:val="clear" w:color="auto" w:fill="FFFFFF"/>
        </w:rPr>
        <w:t>Group B</w:t>
      </w:r>
      <w:r w:rsidR="002B7AB5">
        <w:rPr>
          <w:b/>
          <w:bCs/>
          <w:shd w:val="clear" w:color="auto" w:fill="FFFFFF"/>
        </w:rPr>
        <w:t xml:space="preserve">: </w:t>
      </w:r>
      <w:bookmarkStart w:id="0" w:name="_Hlk37336871"/>
      <w:r w:rsidR="002B7AB5">
        <w:rPr>
          <w:b/>
          <w:bCs/>
          <w:shd w:val="clear" w:color="auto" w:fill="FFFFFF"/>
        </w:rPr>
        <w:t>General elective units</w:t>
      </w:r>
      <w:r w:rsidRPr="00E95C06">
        <w:rPr>
          <w:b/>
          <w:bCs/>
          <w:shd w:val="clear" w:color="auto" w:fill="FFFFFF"/>
        </w:rPr>
        <w:t xml:space="preserve"> </w:t>
      </w:r>
      <w:bookmarkEnd w:id="0"/>
    </w:p>
    <w:p w14:paraId="2C479F1A" w14:textId="77777777" w:rsidR="0091540A" w:rsidRPr="0091540A" w:rsidRDefault="0091540A" w:rsidP="0091540A"/>
    <w:tbl>
      <w:tblPr>
        <w:tblStyle w:val="TableGrid"/>
        <w:tblW w:w="95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863"/>
      </w:tblGrid>
      <w:tr w:rsidR="0098546C" w:rsidRPr="00B241BB" w14:paraId="12649BB1" w14:textId="77777777" w:rsidTr="00280449">
        <w:trPr>
          <w:trHeight w:val="352"/>
        </w:trPr>
        <w:tc>
          <w:tcPr>
            <w:tcW w:w="1696" w:type="dxa"/>
            <w:noWrap/>
            <w:hideMark/>
          </w:tcPr>
          <w:p w14:paraId="0E88AFEF" w14:textId="74FB498C" w:rsidR="0098546C" w:rsidRPr="00294172" w:rsidRDefault="00294172" w:rsidP="00294172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Theme="minorHAnsi" w:eastAsiaTheme="minorHAnsi" w:hAnsiTheme="minorHAnsi" w:cs="Times"/>
                <w:color w:val="000000"/>
                <w:szCs w:val="22"/>
                <w:lang w:val="en-GB"/>
              </w:rPr>
            </w:pPr>
            <w:r w:rsidRPr="00294172">
              <w:rPr>
                <w:rFonts w:asciiTheme="minorHAnsi" w:eastAsiaTheme="minorHAnsi" w:hAnsiTheme="minorHAnsi"/>
                <w:color w:val="000000"/>
                <w:szCs w:val="22"/>
                <w:lang w:val="en-GB"/>
              </w:rPr>
              <w:t>BSBSMB301</w:t>
            </w:r>
          </w:p>
        </w:tc>
        <w:tc>
          <w:tcPr>
            <w:tcW w:w="7863" w:type="dxa"/>
            <w:noWrap/>
            <w:hideMark/>
          </w:tcPr>
          <w:p w14:paraId="2CD21461" w14:textId="3971C235" w:rsidR="0098546C" w:rsidRPr="00294172" w:rsidRDefault="00294172" w:rsidP="00294172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Theme="minorHAnsi" w:eastAsiaTheme="minorHAnsi" w:hAnsiTheme="minorHAnsi" w:cs="Times"/>
                <w:color w:val="000000"/>
                <w:szCs w:val="22"/>
                <w:lang w:val="en-GB"/>
              </w:rPr>
            </w:pPr>
            <w:r w:rsidRPr="00294172">
              <w:rPr>
                <w:rFonts w:asciiTheme="minorHAnsi" w:eastAsiaTheme="minorHAnsi" w:hAnsiTheme="minorHAnsi"/>
                <w:color w:val="000000"/>
                <w:szCs w:val="22"/>
                <w:lang w:val="en-GB"/>
              </w:rPr>
              <w:t>Investigate micro business opportunities</w:t>
            </w:r>
            <w:r w:rsidRPr="00294172">
              <w:rPr>
                <w:rFonts w:ascii="MS Mincho" w:eastAsia="MS Mincho" w:hAnsi="MS Mincho" w:cs="MS Mincho"/>
                <w:color w:val="000000"/>
                <w:szCs w:val="22"/>
                <w:lang w:val="en-GB"/>
              </w:rPr>
              <w:t> </w:t>
            </w:r>
          </w:p>
        </w:tc>
      </w:tr>
      <w:tr w:rsidR="001319CF" w:rsidRPr="00B241BB" w14:paraId="01E69E23" w14:textId="77777777" w:rsidTr="00280449">
        <w:trPr>
          <w:trHeight w:val="320"/>
        </w:trPr>
        <w:tc>
          <w:tcPr>
            <w:tcW w:w="1696" w:type="dxa"/>
            <w:noWrap/>
          </w:tcPr>
          <w:p w14:paraId="02EEE86B" w14:textId="2D78239F" w:rsidR="001319CF" w:rsidRPr="00294172" w:rsidRDefault="00294172" w:rsidP="00294172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Theme="minorHAnsi" w:eastAsiaTheme="minorHAnsi" w:hAnsiTheme="minorHAnsi" w:cs="Times"/>
                <w:color w:val="000000"/>
                <w:szCs w:val="22"/>
                <w:lang w:val="en-GB"/>
              </w:rPr>
            </w:pPr>
            <w:r w:rsidRPr="00294172">
              <w:rPr>
                <w:rFonts w:asciiTheme="minorHAnsi" w:eastAsiaTheme="minorHAnsi" w:hAnsiTheme="minorHAnsi"/>
                <w:color w:val="000000"/>
                <w:szCs w:val="22"/>
                <w:lang w:val="en-GB"/>
              </w:rPr>
              <w:t>BSBSMB421</w:t>
            </w:r>
          </w:p>
        </w:tc>
        <w:tc>
          <w:tcPr>
            <w:tcW w:w="7863" w:type="dxa"/>
            <w:noWrap/>
          </w:tcPr>
          <w:p w14:paraId="225715A8" w14:textId="7B3F009C" w:rsidR="001319CF" w:rsidRPr="00294172" w:rsidRDefault="00294172" w:rsidP="00294172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Theme="minorHAnsi" w:eastAsiaTheme="minorHAnsi" w:hAnsiTheme="minorHAnsi" w:cs="Times"/>
                <w:color w:val="000000"/>
                <w:szCs w:val="22"/>
                <w:lang w:val="en-GB"/>
              </w:rPr>
            </w:pPr>
            <w:r w:rsidRPr="00294172">
              <w:rPr>
                <w:rFonts w:asciiTheme="minorHAnsi" w:eastAsiaTheme="minorHAnsi" w:hAnsiTheme="minorHAnsi"/>
                <w:color w:val="000000"/>
                <w:szCs w:val="22"/>
                <w:lang w:val="en-GB"/>
              </w:rPr>
              <w:t>Manage small business finances</w:t>
            </w:r>
            <w:r w:rsidRPr="00294172">
              <w:rPr>
                <w:rFonts w:ascii="MS Mincho" w:eastAsia="MS Mincho" w:hAnsi="MS Mincho" w:cs="MS Mincho"/>
                <w:color w:val="000000"/>
                <w:szCs w:val="22"/>
                <w:lang w:val="en-GB"/>
              </w:rPr>
              <w:t> </w:t>
            </w:r>
          </w:p>
        </w:tc>
      </w:tr>
      <w:tr w:rsidR="001319CF" w:rsidRPr="00B241BB" w14:paraId="167123F9" w14:textId="77777777" w:rsidTr="00280449">
        <w:trPr>
          <w:trHeight w:val="320"/>
        </w:trPr>
        <w:tc>
          <w:tcPr>
            <w:tcW w:w="1696" w:type="dxa"/>
            <w:noWrap/>
          </w:tcPr>
          <w:p w14:paraId="4A4AA0C6" w14:textId="52DE1929" w:rsidR="001319CF" w:rsidRPr="00294172" w:rsidRDefault="00294172" w:rsidP="00294172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Theme="minorHAnsi" w:eastAsiaTheme="minorHAnsi" w:hAnsiTheme="minorHAnsi" w:cs="Times"/>
                <w:color w:val="000000"/>
                <w:szCs w:val="22"/>
                <w:lang w:val="en-GB"/>
              </w:rPr>
            </w:pPr>
            <w:r w:rsidRPr="00294172">
              <w:rPr>
                <w:rFonts w:asciiTheme="minorHAnsi" w:eastAsiaTheme="minorHAnsi" w:hAnsiTheme="minorHAnsi"/>
                <w:color w:val="000000"/>
                <w:szCs w:val="22"/>
                <w:lang w:val="en-GB"/>
              </w:rPr>
              <w:t>CPCCCM2010</w:t>
            </w:r>
          </w:p>
        </w:tc>
        <w:tc>
          <w:tcPr>
            <w:tcW w:w="7863" w:type="dxa"/>
            <w:noWrap/>
          </w:tcPr>
          <w:p w14:paraId="2C06A83E" w14:textId="52EE6BC4" w:rsidR="001319CF" w:rsidRPr="00294172" w:rsidRDefault="00294172" w:rsidP="00294172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Theme="minorHAnsi" w:eastAsiaTheme="minorHAnsi" w:hAnsiTheme="minorHAnsi" w:cs="Times"/>
                <w:color w:val="000000"/>
                <w:szCs w:val="22"/>
                <w:lang w:val="en-GB"/>
              </w:rPr>
            </w:pPr>
            <w:r w:rsidRPr="00294172">
              <w:rPr>
                <w:rFonts w:asciiTheme="minorHAnsi" w:eastAsiaTheme="minorHAnsi" w:hAnsiTheme="minorHAnsi"/>
                <w:color w:val="000000"/>
                <w:szCs w:val="22"/>
                <w:lang w:val="en-GB"/>
              </w:rPr>
              <w:t xml:space="preserve">Work safely on scaffolding higher than two metres </w:t>
            </w:r>
          </w:p>
        </w:tc>
      </w:tr>
      <w:tr w:rsidR="001319CF" w:rsidRPr="00B241BB" w14:paraId="582F0D94" w14:textId="77777777" w:rsidTr="00280449">
        <w:trPr>
          <w:trHeight w:val="320"/>
        </w:trPr>
        <w:tc>
          <w:tcPr>
            <w:tcW w:w="1696" w:type="dxa"/>
            <w:noWrap/>
          </w:tcPr>
          <w:p w14:paraId="2C4FAAB5" w14:textId="63947F22" w:rsidR="001319CF" w:rsidRPr="00294172" w:rsidRDefault="00294172" w:rsidP="00294172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Theme="minorHAnsi" w:eastAsiaTheme="minorHAnsi" w:hAnsiTheme="minorHAnsi" w:cs="Times"/>
                <w:color w:val="000000"/>
                <w:szCs w:val="22"/>
                <w:lang w:val="en-GB"/>
              </w:rPr>
            </w:pPr>
            <w:r w:rsidRPr="00294172">
              <w:rPr>
                <w:rFonts w:asciiTheme="minorHAnsi" w:eastAsiaTheme="minorHAnsi" w:hAnsiTheme="minorHAnsi"/>
                <w:color w:val="000000"/>
                <w:szCs w:val="22"/>
                <w:lang w:val="en-GB"/>
              </w:rPr>
              <w:t>CPCCCM3005</w:t>
            </w:r>
          </w:p>
        </w:tc>
        <w:tc>
          <w:tcPr>
            <w:tcW w:w="7863" w:type="dxa"/>
            <w:noWrap/>
          </w:tcPr>
          <w:p w14:paraId="0754B84D" w14:textId="1F63F925" w:rsidR="001319CF" w:rsidRPr="00294172" w:rsidRDefault="00294172" w:rsidP="00294172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Theme="minorHAnsi" w:eastAsiaTheme="minorHAnsi" w:hAnsiTheme="minorHAnsi" w:cs="Times"/>
                <w:color w:val="000000"/>
                <w:szCs w:val="22"/>
                <w:lang w:val="en-GB"/>
              </w:rPr>
            </w:pPr>
            <w:r w:rsidRPr="00294172">
              <w:rPr>
                <w:rFonts w:asciiTheme="minorHAnsi" w:eastAsiaTheme="minorHAnsi" w:hAnsiTheme="minorHAnsi"/>
                <w:color w:val="000000"/>
                <w:szCs w:val="22"/>
                <w:lang w:val="en-GB"/>
              </w:rPr>
              <w:t>Calculate costs of construction work</w:t>
            </w:r>
            <w:r w:rsidRPr="00294172">
              <w:rPr>
                <w:rFonts w:ascii="MS Mincho" w:eastAsia="MS Mincho" w:hAnsi="MS Mincho" w:cs="MS Mincho"/>
                <w:color w:val="000000"/>
                <w:szCs w:val="22"/>
                <w:lang w:val="en-GB"/>
              </w:rPr>
              <w:t> </w:t>
            </w:r>
          </w:p>
        </w:tc>
      </w:tr>
      <w:tr w:rsidR="001319CF" w:rsidRPr="00B241BB" w14:paraId="29EBD34B" w14:textId="77777777" w:rsidTr="00280449">
        <w:trPr>
          <w:trHeight w:val="320"/>
        </w:trPr>
        <w:tc>
          <w:tcPr>
            <w:tcW w:w="1696" w:type="dxa"/>
            <w:noWrap/>
          </w:tcPr>
          <w:p w14:paraId="0F56998F" w14:textId="32AFFE4D" w:rsidR="001319CF" w:rsidRPr="00280449" w:rsidRDefault="00294172" w:rsidP="00294172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Theme="minorHAnsi" w:eastAsiaTheme="minorHAnsi" w:hAnsiTheme="minorHAnsi" w:cs="Times"/>
                <w:color w:val="000000"/>
                <w:szCs w:val="22"/>
                <w:lang w:val="en-GB"/>
              </w:rPr>
            </w:pPr>
            <w:r w:rsidRPr="00280449">
              <w:rPr>
                <w:rFonts w:asciiTheme="minorHAnsi" w:eastAsiaTheme="minorHAnsi" w:hAnsiTheme="minorHAnsi"/>
                <w:color w:val="000000"/>
                <w:szCs w:val="22"/>
                <w:lang w:val="en-GB"/>
              </w:rPr>
              <w:t>CPCCLHS3001</w:t>
            </w:r>
          </w:p>
        </w:tc>
        <w:tc>
          <w:tcPr>
            <w:tcW w:w="7863" w:type="dxa"/>
            <w:noWrap/>
          </w:tcPr>
          <w:p w14:paraId="084DC0D8" w14:textId="73064DC2" w:rsidR="001319CF" w:rsidRPr="00280449" w:rsidRDefault="00294172" w:rsidP="00294172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Theme="minorHAnsi" w:eastAsiaTheme="minorHAnsi" w:hAnsiTheme="minorHAnsi" w:cs="Times"/>
                <w:color w:val="000000"/>
                <w:szCs w:val="22"/>
                <w:lang w:val="en-GB"/>
              </w:rPr>
            </w:pPr>
            <w:r w:rsidRPr="00280449">
              <w:rPr>
                <w:rFonts w:asciiTheme="minorHAnsi" w:eastAsiaTheme="minorHAnsi" w:hAnsiTheme="minorHAnsi"/>
                <w:color w:val="000000"/>
                <w:szCs w:val="22"/>
                <w:lang w:val="en-GB"/>
              </w:rPr>
              <w:t xml:space="preserve">Licence to operate a personnel and materials hoist </w:t>
            </w:r>
          </w:p>
        </w:tc>
      </w:tr>
      <w:tr w:rsidR="00D90F55" w:rsidRPr="00B241BB" w14:paraId="25A1451F" w14:textId="77777777" w:rsidTr="00280449">
        <w:trPr>
          <w:trHeight w:val="320"/>
        </w:trPr>
        <w:tc>
          <w:tcPr>
            <w:tcW w:w="1696" w:type="dxa"/>
            <w:noWrap/>
          </w:tcPr>
          <w:p w14:paraId="281106AA" w14:textId="2CA54943" w:rsidR="00D90F55" w:rsidRPr="00F2244C" w:rsidRDefault="00D90F55" w:rsidP="00294172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Theme="minorHAnsi" w:eastAsiaTheme="minorHAnsi" w:hAnsiTheme="minorHAnsi"/>
                <w:szCs w:val="22"/>
                <w:lang w:val="en-GB"/>
              </w:rPr>
            </w:pPr>
            <w:r w:rsidRPr="00F2244C">
              <w:rPr>
                <w:rFonts w:eastAsiaTheme="minorHAnsi"/>
                <w:szCs w:val="22"/>
                <w:lang w:val="en-GB"/>
              </w:rPr>
              <w:t>CPCCWHS3001</w:t>
            </w:r>
          </w:p>
        </w:tc>
        <w:tc>
          <w:tcPr>
            <w:tcW w:w="7863" w:type="dxa"/>
            <w:noWrap/>
          </w:tcPr>
          <w:p w14:paraId="303969EC" w14:textId="33CC9242" w:rsidR="00D90F55" w:rsidRPr="00F2244C" w:rsidRDefault="00D90F55" w:rsidP="00294172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Theme="minorHAnsi" w:eastAsiaTheme="minorHAnsi" w:hAnsiTheme="minorHAnsi"/>
                <w:szCs w:val="22"/>
                <w:lang w:val="en-GB"/>
              </w:rPr>
            </w:pPr>
            <w:r w:rsidRPr="00F2244C">
              <w:rPr>
                <w:rFonts w:eastAsiaTheme="minorHAnsi"/>
                <w:szCs w:val="22"/>
                <w:lang w:val="en-GB"/>
              </w:rPr>
              <w:t xml:space="preserve">Identify construction work hazards and select risk control strategies </w:t>
            </w:r>
          </w:p>
        </w:tc>
      </w:tr>
    </w:tbl>
    <w:p w14:paraId="174D0195" w14:textId="77777777" w:rsidR="005C0D14" w:rsidRDefault="005C0D14" w:rsidP="005F46A9">
      <w:pPr>
        <w:pStyle w:val="Heading2"/>
        <w:rPr>
          <w:rFonts w:ascii="Calibri" w:hAnsi="Calibri" w:cs="Calibri"/>
          <w:sz w:val="22"/>
          <w:szCs w:val="22"/>
        </w:rPr>
      </w:pPr>
    </w:p>
    <w:p w14:paraId="644D83AB" w14:textId="1AD35586" w:rsidR="005F46A9" w:rsidRDefault="00E95C06" w:rsidP="00E95C06">
      <w:pPr>
        <w:rPr>
          <w:b/>
          <w:bCs/>
          <w:shd w:val="clear" w:color="auto" w:fill="FFFFFF"/>
        </w:rPr>
      </w:pPr>
      <w:r w:rsidRPr="00E95C06">
        <w:rPr>
          <w:b/>
          <w:bCs/>
          <w:shd w:val="clear" w:color="auto" w:fill="FFFFFF"/>
        </w:rPr>
        <w:t xml:space="preserve">QUALIFICATION MAPPING INFORMATION </w:t>
      </w:r>
    </w:p>
    <w:p w14:paraId="3884A3FC" w14:textId="5393DE20" w:rsidR="003930B7" w:rsidRPr="00E95C06" w:rsidRDefault="003930B7" w:rsidP="00E95C06">
      <w:pPr>
        <w:rPr>
          <w:b/>
          <w:bCs/>
          <w:shd w:val="clear" w:color="auto" w:fill="FFFFFF"/>
        </w:rPr>
      </w:pPr>
      <w:r w:rsidRPr="00FE7621">
        <w:rPr>
          <w:rFonts w:cs="Calibri"/>
          <w:szCs w:val="22"/>
        </w:rPr>
        <w:t>Sup</w:t>
      </w:r>
      <w:r>
        <w:rPr>
          <w:rFonts w:cs="Calibri"/>
          <w:szCs w:val="22"/>
        </w:rPr>
        <w:t>ersedes and is equivalent to CPC30</w:t>
      </w:r>
      <w:r w:rsidRPr="00FE7621">
        <w:rPr>
          <w:rFonts w:cs="Calibri"/>
          <w:szCs w:val="22"/>
        </w:rPr>
        <w:t>11</w:t>
      </w:r>
      <w:r>
        <w:rPr>
          <w:rFonts w:cs="Calibri"/>
          <w:szCs w:val="22"/>
        </w:rPr>
        <w:t>6 Certificate III in Shopfitting.</w:t>
      </w:r>
    </w:p>
    <w:p w14:paraId="76DB3C8C" w14:textId="53AEBC7F" w:rsidR="005F46A9" w:rsidRDefault="005F46A9"/>
    <w:p w14:paraId="26B49702" w14:textId="4E13F9B0" w:rsidR="0065681B" w:rsidRDefault="00E95C06" w:rsidP="00E95C06">
      <w:pPr>
        <w:rPr>
          <w:b/>
          <w:bCs/>
        </w:rPr>
      </w:pPr>
      <w:r w:rsidRPr="00E95C06">
        <w:rPr>
          <w:b/>
          <w:bCs/>
        </w:rPr>
        <w:t>LINKS</w:t>
      </w:r>
    </w:p>
    <w:p w14:paraId="6F5EA230" w14:textId="77777777" w:rsidR="00E95C06" w:rsidRPr="00E95C06" w:rsidRDefault="00E95C06" w:rsidP="00E95C06">
      <w:pPr>
        <w:rPr>
          <w:b/>
          <w:bCs/>
        </w:rPr>
      </w:pPr>
    </w:p>
    <w:p w14:paraId="31ED17F8" w14:textId="302D3E81" w:rsidR="0065681B" w:rsidRPr="000E66CD" w:rsidRDefault="003930B7" w:rsidP="0065681B">
      <w:pPr>
        <w:rPr>
          <w:rFonts w:cs="Calibri"/>
        </w:rPr>
      </w:pPr>
      <w:r>
        <w:t>The Companion Volume</w:t>
      </w:r>
      <w:r w:rsidRPr="00D54D06">
        <w:t xml:space="preserve"> Implementation Guide </w:t>
      </w:r>
      <w:r>
        <w:t>for the CPC</w:t>
      </w:r>
      <w:r w:rsidRPr="00D54D06">
        <w:t xml:space="preserve"> </w:t>
      </w:r>
      <w:r w:rsidRPr="004C3C1D">
        <w:t>Construction, Plumbing and Services</w:t>
      </w:r>
      <w:r w:rsidRPr="000E66CD">
        <w:rPr>
          <w:rFonts w:cs="Calibri"/>
        </w:rPr>
        <w:t xml:space="preserve"> </w:t>
      </w:r>
      <w:r w:rsidR="0065681B" w:rsidRPr="000E66CD">
        <w:rPr>
          <w:rFonts w:cs="Calibri"/>
        </w:rPr>
        <w:t>Training Package is available at:</w:t>
      </w:r>
      <w:r w:rsidR="0065681B">
        <w:rPr>
          <w:rFonts w:cs="Calibri"/>
        </w:rPr>
        <w:t xml:space="preserve"> </w:t>
      </w:r>
      <w:hyperlink r:id="rId7" w:history="1">
        <w:r w:rsidR="007004B4" w:rsidRPr="00D84A29">
          <w:rPr>
            <w:rStyle w:val="Hyperlink"/>
          </w:rPr>
          <w:t>https://vetnet.education.gov.au/Pages/TrainingDocs.aspx?q=7e15fa6a-68b8-4097-b099-030a5569b1ad</w:t>
        </w:r>
      </w:hyperlink>
      <w:r>
        <w:rPr>
          <w:rStyle w:val="Hyperlink"/>
        </w:rPr>
        <w:t>.</w:t>
      </w:r>
      <w:r w:rsidR="007004B4">
        <w:t xml:space="preserve"> </w:t>
      </w:r>
    </w:p>
    <w:p w14:paraId="5ED87AD5" w14:textId="77777777" w:rsidR="0065681B" w:rsidRDefault="0065681B"/>
    <w:p w14:paraId="7F916F9B" w14:textId="77777777" w:rsidR="00B327B1" w:rsidRDefault="00B327B1"/>
    <w:sectPr w:rsidR="00B327B1" w:rsidSect="00D969B4">
      <w:foot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511F24" w14:textId="77777777" w:rsidR="00775EF8" w:rsidRDefault="00775EF8" w:rsidP="0091540A">
      <w:r>
        <w:separator/>
      </w:r>
    </w:p>
  </w:endnote>
  <w:endnote w:type="continuationSeparator" w:id="0">
    <w:p w14:paraId="4D29A4A3" w14:textId="77777777" w:rsidR="00775EF8" w:rsidRDefault="00775EF8" w:rsidP="00915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8119394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098C3D8" w14:textId="078E42A2" w:rsidR="00707CD5" w:rsidRDefault="00707CD5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139568C6" w14:textId="247DF5FC" w:rsidR="00F74671" w:rsidRDefault="00F746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9336B7" w14:textId="77777777" w:rsidR="00775EF8" w:rsidRDefault="00775EF8" w:rsidP="0091540A">
      <w:r>
        <w:separator/>
      </w:r>
    </w:p>
  </w:footnote>
  <w:footnote w:type="continuationSeparator" w:id="0">
    <w:p w14:paraId="32AF0530" w14:textId="77777777" w:rsidR="00775EF8" w:rsidRDefault="00775EF8" w:rsidP="009154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586086"/>
    <w:multiLevelType w:val="hybridMultilevel"/>
    <w:tmpl w:val="5F1E8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11264F"/>
    <w:multiLevelType w:val="hybridMultilevel"/>
    <w:tmpl w:val="C3B697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B3FC1"/>
    <w:multiLevelType w:val="hybridMultilevel"/>
    <w:tmpl w:val="1A6047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7670F2"/>
    <w:multiLevelType w:val="hybridMultilevel"/>
    <w:tmpl w:val="6232B3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7D30FC"/>
    <w:multiLevelType w:val="hybridMultilevel"/>
    <w:tmpl w:val="F392B9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4F07D8"/>
    <w:multiLevelType w:val="hybridMultilevel"/>
    <w:tmpl w:val="2E722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E156D4"/>
    <w:multiLevelType w:val="hybridMultilevel"/>
    <w:tmpl w:val="98DE1C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6E2B0C"/>
    <w:multiLevelType w:val="hybridMultilevel"/>
    <w:tmpl w:val="48FC5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7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40A"/>
    <w:rsid w:val="00006DFF"/>
    <w:rsid w:val="00036B37"/>
    <w:rsid w:val="00054BA2"/>
    <w:rsid w:val="00057B0F"/>
    <w:rsid w:val="00065A43"/>
    <w:rsid w:val="00074971"/>
    <w:rsid w:val="0008748A"/>
    <w:rsid w:val="00090C8F"/>
    <w:rsid w:val="000A7754"/>
    <w:rsid w:val="000C1BA8"/>
    <w:rsid w:val="000E1A9B"/>
    <w:rsid w:val="000E68DB"/>
    <w:rsid w:val="001319CF"/>
    <w:rsid w:val="00133540"/>
    <w:rsid w:val="00135092"/>
    <w:rsid w:val="001358E4"/>
    <w:rsid w:val="00140783"/>
    <w:rsid w:val="00146D7B"/>
    <w:rsid w:val="00157306"/>
    <w:rsid w:val="0016448D"/>
    <w:rsid w:val="00180D28"/>
    <w:rsid w:val="001B3422"/>
    <w:rsid w:val="001E6ED6"/>
    <w:rsid w:val="00201B7D"/>
    <w:rsid w:val="002264C6"/>
    <w:rsid w:val="002425CD"/>
    <w:rsid w:val="0025753F"/>
    <w:rsid w:val="00257F9A"/>
    <w:rsid w:val="00272CD3"/>
    <w:rsid w:val="00280449"/>
    <w:rsid w:val="00284102"/>
    <w:rsid w:val="00294172"/>
    <w:rsid w:val="002A7F19"/>
    <w:rsid w:val="002A7F26"/>
    <w:rsid w:val="002B7AB5"/>
    <w:rsid w:val="002C46E4"/>
    <w:rsid w:val="002D2839"/>
    <w:rsid w:val="002F7711"/>
    <w:rsid w:val="003017E7"/>
    <w:rsid w:val="00311320"/>
    <w:rsid w:val="00327A99"/>
    <w:rsid w:val="00366F66"/>
    <w:rsid w:val="003703B4"/>
    <w:rsid w:val="00385E41"/>
    <w:rsid w:val="003930B7"/>
    <w:rsid w:val="003B203F"/>
    <w:rsid w:val="003C6FC1"/>
    <w:rsid w:val="003D5D65"/>
    <w:rsid w:val="003E2619"/>
    <w:rsid w:val="004007A8"/>
    <w:rsid w:val="00411CDE"/>
    <w:rsid w:val="004146CE"/>
    <w:rsid w:val="00416F9D"/>
    <w:rsid w:val="0045312B"/>
    <w:rsid w:val="004560B0"/>
    <w:rsid w:val="00481E7A"/>
    <w:rsid w:val="00490FDD"/>
    <w:rsid w:val="0049244E"/>
    <w:rsid w:val="004B5ABF"/>
    <w:rsid w:val="004D6F93"/>
    <w:rsid w:val="004E16C6"/>
    <w:rsid w:val="004E4520"/>
    <w:rsid w:val="00501F37"/>
    <w:rsid w:val="005154C2"/>
    <w:rsid w:val="00536128"/>
    <w:rsid w:val="00547062"/>
    <w:rsid w:val="00585620"/>
    <w:rsid w:val="00590435"/>
    <w:rsid w:val="00593C46"/>
    <w:rsid w:val="005B73ED"/>
    <w:rsid w:val="005C0D14"/>
    <w:rsid w:val="005C7E7C"/>
    <w:rsid w:val="005F1668"/>
    <w:rsid w:val="005F46A9"/>
    <w:rsid w:val="006044D2"/>
    <w:rsid w:val="006073F4"/>
    <w:rsid w:val="0061539C"/>
    <w:rsid w:val="006428E3"/>
    <w:rsid w:val="00645796"/>
    <w:rsid w:val="006534DC"/>
    <w:rsid w:val="0065681B"/>
    <w:rsid w:val="00663A86"/>
    <w:rsid w:val="006715A4"/>
    <w:rsid w:val="00672084"/>
    <w:rsid w:val="006A341C"/>
    <w:rsid w:val="006D5106"/>
    <w:rsid w:val="007004B4"/>
    <w:rsid w:val="007038F2"/>
    <w:rsid w:val="007057EC"/>
    <w:rsid w:val="00707CD5"/>
    <w:rsid w:val="00740CE6"/>
    <w:rsid w:val="007533DA"/>
    <w:rsid w:val="00775EF8"/>
    <w:rsid w:val="0079736B"/>
    <w:rsid w:val="007A10D1"/>
    <w:rsid w:val="007B1517"/>
    <w:rsid w:val="007B1DBA"/>
    <w:rsid w:val="007D50CB"/>
    <w:rsid w:val="008024FB"/>
    <w:rsid w:val="00806FA9"/>
    <w:rsid w:val="00810BCC"/>
    <w:rsid w:val="008251C7"/>
    <w:rsid w:val="00827AAF"/>
    <w:rsid w:val="0083169A"/>
    <w:rsid w:val="00845AFC"/>
    <w:rsid w:val="008A0B39"/>
    <w:rsid w:val="008B3F96"/>
    <w:rsid w:val="008C1E93"/>
    <w:rsid w:val="008C29F5"/>
    <w:rsid w:val="008E5330"/>
    <w:rsid w:val="0091540A"/>
    <w:rsid w:val="009531FC"/>
    <w:rsid w:val="00963A22"/>
    <w:rsid w:val="00971FC4"/>
    <w:rsid w:val="0098546C"/>
    <w:rsid w:val="00997FED"/>
    <w:rsid w:val="009F11F0"/>
    <w:rsid w:val="009F3378"/>
    <w:rsid w:val="00A16FDD"/>
    <w:rsid w:val="00A17591"/>
    <w:rsid w:val="00A21C12"/>
    <w:rsid w:val="00A309F6"/>
    <w:rsid w:val="00A33271"/>
    <w:rsid w:val="00A35EC7"/>
    <w:rsid w:val="00A45CC3"/>
    <w:rsid w:val="00A614C9"/>
    <w:rsid w:val="00A9243D"/>
    <w:rsid w:val="00AB414D"/>
    <w:rsid w:val="00AB6B4B"/>
    <w:rsid w:val="00AC095D"/>
    <w:rsid w:val="00AD6675"/>
    <w:rsid w:val="00AD7E23"/>
    <w:rsid w:val="00B0077B"/>
    <w:rsid w:val="00B17890"/>
    <w:rsid w:val="00B241BB"/>
    <w:rsid w:val="00B327B1"/>
    <w:rsid w:val="00B3400A"/>
    <w:rsid w:val="00B558D0"/>
    <w:rsid w:val="00B70AAE"/>
    <w:rsid w:val="00B7698E"/>
    <w:rsid w:val="00B86C7E"/>
    <w:rsid w:val="00BB3BB8"/>
    <w:rsid w:val="00BB78E1"/>
    <w:rsid w:val="00BC62BB"/>
    <w:rsid w:val="00BD378F"/>
    <w:rsid w:val="00BD4AD9"/>
    <w:rsid w:val="00C07923"/>
    <w:rsid w:val="00C1486D"/>
    <w:rsid w:val="00C27675"/>
    <w:rsid w:val="00C423E4"/>
    <w:rsid w:val="00C50630"/>
    <w:rsid w:val="00C75FFD"/>
    <w:rsid w:val="00C82035"/>
    <w:rsid w:val="00C83D79"/>
    <w:rsid w:val="00C941AD"/>
    <w:rsid w:val="00CA724E"/>
    <w:rsid w:val="00CC776F"/>
    <w:rsid w:val="00CE0828"/>
    <w:rsid w:val="00CE3768"/>
    <w:rsid w:val="00CE64D8"/>
    <w:rsid w:val="00D262F8"/>
    <w:rsid w:val="00D319BB"/>
    <w:rsid w:val="00D40B23"/>
    <w:rsid w:val="00D531BE"/>
    <w:rsid w:val="00D6488C"/>
    <w:rsid w:val="00D737AC"/>
    <w:rsid w:val="00D90748"/>
    <w:rsid w:val="00D90F55"/>
    <w:rsid w:val="00D969B4"/>
    <w:rsid w:val="00DA2250"/>
    <w:rsid w:val="00DA6A30"/>
    <w:rsid w:val="00DB0B90"/>
    <w:rsid w:val="00DB1803"/>
    <w:rsid w:val="00DB3927"/>
    <w:rsid w:val="00DF04F5"/>
    <w:rsid w:val="00DF138D"/>
    <w:rsid w:val="00DF3E71"/>
    <w:rsid w:val="00E104B6"/>
    <w:rsid w:val="00E2672F"/>
    <w:rsid w:val="00E31B93"/>
    <w:rsid w:val="00E3698A"/>
    <w:rsid w:val="00E8555F"/>
    <w:rsid w:val="00E860A9"/>
    <w:rsid w:val="00E95C06"/>
    <w:rsid w:val="00EA31CA"/>
    <w:rsid w:val="00EB0EBD"/>
    <w:rsid w:val="00EB1F4D"/>
    <w:rsid w:val="00F2244C"/>
    <w:rsid w:val="00F303FE"/>
    <w:rsid w:val="00F50094"/>
    <w:rsid w:val="00F74671"/>
    <w:rsid w:val="00F87219"/>
    <w:rsid w:val="00F905AB"/>
    <w:rsid w:val="00FA79C8"/>
    <w:rsid w:val="00FB3C08"/>
    <w:rsid w:val="00FE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DCB8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1540A"/>
    <w:rPr>
      <w:rFonts w:ascii="Calibri" w:eastAsia="Times New Roman" w:hAnsi="Calibri" w:cs="Times New Roman"/>
      <w:sz w:val="22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540A"/>
    <w:pPr>
      <w:keepNext/>
      <w:keepLines/>
      <w:spacing w:before="320"/>
      <w:outlineLvl w:val="0"/>
    </w:pPr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540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540A"/>
    <w:rPr>
      <w:rFonts w:asciiTheme="majorHAnsi" w:eastAsiaTheme="majorEastAsia" w:hAnsiTheme="majorHAnsi" w:cstheme="majorBidi"/>
      <w:color w:val="2F5496" w:themeColor="accent1" w:themeShade="BF"/>
      <w:sz w:val="30"/>
      <w:szCs w:val="30"/>
      <w:lang w:val="en-AU"/>
    </w:rPr>
  </w:style>
  <w:style w:type="paragraph" w:styleId="Title">
    <w:name w:val="Title"/>
    <w:basedOn w:val="Normal"/>
    <w:next w:val="Normal"/>
    <w:link w:val="TitleChar"/>
    <w:uiPriority w:val="10"/>
    <w:qFormat/>
    <w:rsid w:val="0091540A"/>
    <w:pPr>
      <w:contextualSpacing/>
    </w:pPr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1540A"/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  <w:lang w:val="en-AU"/>
    </w:rPr>
  </w:style>
  <w:style w:type="paragraph" w:styleId="ListParagraph">
    <w:name w:val="List Paragraph"/>
    <w:basedOn w:val="Normal"/>
    <w:uiPriority w:val="34"/>
    <w:qFormat/>
    <w:rsid w:val="0091540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1540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91540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540A"/>
    <w:rPr>
      <w:rFonts w:ascii="Calibri" w:eastAsia="Times New Roman" w:hAnsi="Calibri" w:cs="Times New Roman"/>
      <w:sz w:val="22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9154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540A"/>
    <w:rPr>
      <w:rFonts w:ascii="Calibri" w:eastAsia="Times New Roman" w:hAnsi="Calibri" w:cs="Times New Roman"/>
      <w:sz w:val="22"/>
      <w:lang w:val="en-AU"/>
    </w:rPr>
  </w:style>
  <w:style w:type="table" w:styleId="TableGrid">
    <w:name w:val="Table Grid"/>
    <w:basedOn w:val="TableNormal"/>
    <w:uiPriority w:val="39"/>
    <w:rsid w:val="006A34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17E7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7E7"/>
    <w:rPr>
      <w:rFonts w:ascii="Times New Roman" w:eastAsia="Times New Roman" w:hAnsi="Times New Roman" w:cs="Times New Roman"/>
      <w:sz w:val="18"/>
      <w:szCs w:val="18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3017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17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17E7"/>
    <w:rPr>
      <w:rFonts w:ascii="Calibri" w:eastAsia="Times New Roman" w:hAnsi="Calibri" w:cs="Times New Roman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17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17E7"/>
    <w:rPr>
      <w:rFonts w:ascii="Calibri" w:eastAsia="Times New Roman" w:hAnsi="Calibri" w:cs="Times New Roman"/>
      <w:b/>
      <w:bCs/>
      <w:sz w:val="20"/>
      <w:szCs w:val="20"/>
      <w:lang w:val="en-AU"/>
    </w:rPr>
  </w:style>
  <w:style w:type="character" w:customStyle="1" w:styleId="im">
    <w:name w:val="im"/>
    <w:basedOn w:val="DefaultParagraphFont"/>
    <w:rsid w:val="003B203F"/>
  </w:style>
  <w:style w:type="character" w:styleId="Hyperlink">
    <w:name w:val="Hyperlink"/>
    <w:basedOn w:val="DefaultParagraphFont"/>
    <w:uiPriority w:val="99"/>
    <w:unhideWhenUsed/>
    <w:rsid w:val="007004B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70AA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18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56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2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2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Morgan</dc:creator>
  <cp:keywords/>
  <dc:description/>
  <cp:lastModifiedBy>Katalin Bolkeny</cp:lastModifiedBy>
  <cp:revision>6</cp:revision>
  <cp:lastPrinted>2020-04-09T04:52:00Z</cp:lastPrinted>
  <dcterms:created xsi:type="dcterms:W3CDTF">2020-04-09T06:01:00Z</dcterms:created>
  <dcterms:modified xsi:type="dcterms:W3CDTF">2020-08-06T06:45:00Z</dcterms:modified>
</cp:coreProperties>
</file>