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AC63" w14:textId="18AF9D43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CA689A">
        <w:t>P</w:t>
      </w:r>
      <w:r w:rsidR="0043312B">
        <w:t>2</w:t>
      </w:r>
      <w:r w:rsidR="00002D82">
        <w:t>0</w:t>
      </w:r>
      <w:r w:rsidR="00EA6AA6">
        <w:t>2</w:t>
      </w:r>
      <w:r w:rsidR="001C2684">
        <w:t>20</w:t>
      </w:r>
    </w:p>
    <w:p w14:paraId="79C90434" w14:textId="589E0BE6" w:rsidR="00612E2D" w:rsidRDefault="00CD528A" w:rsidP="00612E2D">
      <w:pPr>
        <w:rPr>
          <w:strike/>
          <w:color w:val="000000"/>
          <w:lang w:eastAsia="en-AU"/>
        </w:rPr>
      </w:pPr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7C1C73">
        <w:rPr>
          <w:color w:val="000000"/>
          <w:lang w:eastAsia="en-AU"/>
        </w:rPr>
        <w:t>Certificate II in</w:t>
      </w:r>
      <w:r w:rsidR="00747F91">
        <w:rPr>
          <w:color w:val="000000"/>
          <w:lang w:eastAsia="en-AU"/>
        </w:rPr>
        <w:t xml:space="preserve"> </w:t>
      </w:r>
      <w:r w:rsidR="00821D14" w:rsidRPr="008A4D91">
        <w:rPr>
          <w:color w:val="000000"/>
          <w:lang w:eastAsia="en-AU"/>
        </w:rPr>
        <w:t>Surveying</w:t>
      </w:r>
      <w:r w:rsidR="007C1C73" w:rsidRPr="008A4D91">
        <w:rPr>
          <w:color w:val="000000"/>
          <w:lang w:eastAsia="en-AU"/>
        </w:rPr>
        <w:t xml:space="preserve"> and Spatial Information Services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12C799A1" w14:textId="41978B40" w:rsidR="0043312B" w:rsidRDefault="0043312B" w:rsidP="0043312B">
      <w:bookmarkStart w:id="0" w:name="_Hlk27579924"/>
      <w:bookmarkStart w:id="1" w:name="_Hlk4593799"/>
      <w:r>
        <w:t xml:space="preserve">This qualification applies to those </w:t>
      </w:r>
      <w:r w:rsidR="00FC5968">
        <w:t>who require skills development to prepare f</w:t>
      </w:r>
      <w:r>
        <w:t xml:space="preserve">or </w:t>
      </w:r>
      <w:r w:rsidR="00FC5968">
        <w:t xml:space="preserve">workforce entry or vocational training pathways. </w:t>
      </w:r>
      <w:r w:rsidR="002036D2">
        <w:t xml:space="preserve">It reflects the role of individuals who work </w:t>
      </w:r>
      <w:r>
        <w:t xml:space="preserve">under </w:t>
      </w:r>
      <w:r w:rsidR="002036D2" w:rsidRPr="00FE0927">
        <w:t>direct</w:t>
      </w:r>
      <w:r>
        <w:t xml:space="preserve"> supervision </w:t>
      </w:r>
      <w:r w:rsidR="002036D2">
        <w:t xml:space="preserve">to perform a range of mainly routine tasks in a </w:t>
      </w:r>
      <w:r>
        <w:t xml:space="preserve">surveying or spatial information services </w:t>
      </w:r>
      <w:r w:rsidR="002036D2">
        <w:t>context.</w:t>
      </w:r>
    </w:p>
    <w:p w14:paraId="657340A7" w14:textId="63ED4565" w:rsidR="00F62C56" w:rsidRDefault="00D9002B" w:rsidP="00FD2A7D">
      <w:pPr>
        <w:pStyle w:val="BodyText"/>
      </w:pPr>
      <w:r>
        <w:t xml:space="preserve">No licensing, legislative, regulatory or certification </w:t>
      </w:r>
      <w:r w:rsidR="00FD2A7D" w:rsidRPr="007C15DF">
        <w:t xml:space="preserve">requirements apply </w:t>
      </w:r>
      <w:r>
        <w:t xml:space="preserve">to this qualification at the time of publication. </w:t>
      </w:r>
    </w:p>
    <w:bookmarkEnd w:id="0"/>
    <w:p w14:paraId="0CCBCDB9" w14:textId="72FC01FE" w:rsidR="00CA689A" w:rsidRPr="001C4379" w:rsidRDefault="00CA689A" w:rsidP="004A6087">
      <w:pPr>
        <w:rPr>
          <w:bCs/>
        </w:rPr>
      </w:pPr>
      <w:r>
        <w:rPr>
          <w:b/>
          <w:bCs/>
        </w:rPr>
        <w:t xml:space="preserve">ENTRY REQUIREMENTS </w:t>
      </w:r>
    </w:p>
    <w:bookmarkEnd w:id="1"/>
    <w:p w14:paraId="50C822F0" w14:textId="77777777" w:rsidR="007C1C73" w:rsidRPr="006556A7" w:rsidRDefault="007C1C73" w:rsidP="007C1C73">
      <w:pPr>
        <w:pStyle w:val="BodyText"/>
      </w:pPr>
      <w:r w:rsidRPr="006556A7">
        <w:t>There are no entry requirements for this qualification.</w:t>
      </w:r>
    </w:p>
    <w:p w14:paraId="3597D3D0" w14:textId="3AC5D405" w:rsidR="00612E2D" w:rsidRPr="001C4379" w:rsidRDefault="00CD528A" w:rsidP="00612E2D">
      <w:pPr>
        <w:rPr>
          <w:bCs/>
        </w:rPr>
      </w:pPr>
      <w:r w:rsidRPr="00342D03">
        <w:rPr>
          <w:b/>
          <w:bCs/>
        </w:rPr>
        <w:t>PACKAGING RULES</w:t>
      </w:r>
      <w:r w:rsidR="00326BD9">
        <w:rPr>
          <w:b/>
          <w:bCs/>
        </w:rPr>
        <w:t xml:space="preserve"> 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FD2A7D" w14:paraId="7EE6C1CE" w14:textId="77777777" w:rsidTr="00C25A14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7221F9" w14:textId="3C40F48B" w:rsidR="00FD2A7D" w:rsidRPr="00FD2A7D" w:rsidRDefault="00FD2A7D" w:rsidP="00EA341D">
            <w:pPr>
              <w:pStyle w:val="BodyText"/>
            </w:pPr>
            <w:r w:rsidRPr="00FD2A7D">
              <w:t>To achieve this qualification, competency must be demonstrated i</w:t>
            </w:r>
            <w:r w:rsidR="00EA341D">
              <w:t xml:space="preserve">n </w:t>
            </w:r>
            <w:r w:rsidR="0043312B">
              <w:t xml:space="preserve">8 </w:t>
            </w:r>
            <w:r w:rsidRPr="00FD2A7D">
              <w:t>units of competency</w:t>
            </w:r>
            <w:r w:rsidR="00EA341D">
              <w:t xml:space="preserve"> consisting of:</w:t>
            </w:r>
          </w:p>
          <w:p w14:paraId="328E1EFB" w14:textId="71494AE9" w:rsidR="00FD2A7D" w:rsidRPr="00BF2ECA" w:rsidRDefault="0043312B" w:rsidP="00FD2A7D">
            <w:pPr>
              <w:pStyle w:val="ListBullet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9A5395" w:rsidRPr="00BF2ECA">
              <w:rPr>
                <w:rFonts w:ascii="Calibri" w:hAnsi="Calibri"/>
                <w:sz w:val="22"/>
              </w:rPr>
              <w:t xml:space="preserve"> </w:t>
            </w:r>
            <w:r w:rsidR="00FD2A7D" w:rsidRPr="00BF2ECA">
              <w:rPr>
                <w:rFonts w:ascii="Calibri" w:hAnsi="Calibri"/>
                <w:sz w:val="22"/>
              </w:rPr>
              <w:t xml:space="preserve">core units </w:t>
            </w:r>
            <w:r w:rsidR="00ED66FF">
              <w:rPr>
                <w:rFonts w:ascii="Calibri" w:hAnsi="Calibri"/>
                <w:sz w:val="22"/>
              </w:rPr>
              <w:t>and</w:t>
            </w:r>
          </w:p>
          <w:p w14:paraId="6D15F862" w14:textId="3ED5FFF6" w:rsidR="00D80624" w:rsidRPr="00FD2A7D" w:rsidRDefault="0043312B" w:rsidP="00FD2A7D">
            <w:pPr>
              <w:pStyle w:val="ListBullet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9A5395" w:rsidRPr="00BF2ECA">
              <w:rPr>
                <w:rFonts w:ascii="Calibri" w:hAnsi="Calibri"/>
                <w:sz w:val="22"/>
              </w:rPr>
              <w:t xml:space="preserve"> </w:t>
            </w:r>
            <w:r w:rsidR="00FD2A7D" w:rsidRPr="00FD2A7D">
              <w:rPr>
                <w:rFonts w:ascii="Calibri" w:hAnsi="Calibri"/>
                <w:sz w:val="22"/>
              </w:rPr>
              <w:t>elective units.</w:t>
            </w:r>
          </w:p>
        </w:tc>
      </w:tr>
      <w:tr w:rsidR="001666F9" w:rsidRPr="00342D03" w14:paraId="4803BF89" w14:textId="0CC7354E" w:rsidTr="00C25A14">
        <w:trPr>
          <w:trHeight w:val="503"/>
        </w:trPr>
        <w:tc>
          <w:tcPr>
            <w:tcW w:w="9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tbl>
            <w:tblPr>
              <w:tblW w:w="9072" w:type="dxa"/>
              <w:tblInd w:w="6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78"/>
              <w:gridCol w:w="7194"/>
            </w:tblGrid>
            <w:tr w:rsidR="007C1C73" w14:paraId="769664D2" w14:textId="77777777" w:rsidTr="00C25A14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82ECA74" w14:textId="77777777" w:rsidR="0043312B" w:rsidRDefault="0043312B" w:rsidP="0043312B">
                  <w:pPr>
                    <w:spacing w:after="0"/>
                  </w:pPr>
                  <w:r>
                    <w:t>Electives are to be selected as follows:</w:t>
                  </w:r>
                </w:p>
                <w:p w14:paraId="7619A193" w14:textId="5147A960" w:rsidR="0043312B" w:rsidRDefault="0043312B" w:rsidP="0043312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>4 units from the elective units listed below</w:t>
                  </w:r>
                  <w:r w:rsidR="00E92F44">
                    <w:t>,</w:t>
                  </w:r>
                  <w:r w:rsidR="00514ADE">
                    <w:t xml:space="preserve"> </w:t>
                  </w:r>
                  <w:r w:rsidR="00E92F44">
                    <w:t>or</w:t>
                  </w:r>
                  <w:r>
                    <w:t xml:space="preserve"> </w:t>
                  </w:r>
                </w:p>
                <w:p w14:paraId="505871A6" w14:textId="4398CDF7" w:rsidR="0043312B" w:rsidRDefault="0043312B" w:rsidP="0043312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 xml:space="preserve">up to 2 </w:t>
                  </w:r>
                  <w:r w:rsidR="000D1515">
                    <w:t xml:space="preserve">of the 4 elective </w:t>
                  </w:r>
                  <w:r>
                    <w:t>units</w:t>
                  </w:r>
                  <w:r w:rsidR="000D1515">
                    <w:t xml:space="preserve"> </w:t>
                  </w:r>
                  <w:r>
                    <w:t xml:space="preserve">may be </w:t>
                  </w:r>
                  <w:r w:rsidR="001C2684">
                    <w:t xml:space="preserve">selected </w:t>
                  </w:r>
                  <w:r>
                    <w:t xml:space="preserve">from </w:t>
                  </w:r>
                  <w:r w:rsidR="00FC5968">
                    <w:t xml:space="preserve">any </w:t>
                  </w:r>
                  <w:r>
                    <w:t xml:space="preserve">current training package </w:t>
                  </w:r>
                  <w:r w:rsidR="001C2684">
                    <w:t xml:space="preserve">qualification </w:t>
                  </w:r>
                  <w:r>
                    <w:t>or accredited course</w:t>
                  </w:r>
                  <w:r w:rsidR="009066E6">
                    <w:t>,</w:t>
                  </w:r>
                  <w:r w:rsidR="001C2684">
                    <w:t xml:space="preserve"> </w:t>
                  </w:r>
                  <w:r>
                    <w:t xml:space="preserve">provided </w:t>
                  </w:r>
                  <w:r w:rsidR="001C2684">
                    <w:t>they</w:t>
                  </w:r>
                  <w:r>
                    <w:t xml:space="preserve"> contribute to a valid</w:t>
                  </w:r>
                  <w:r w:rsidR="001C2684">
                    <w:t>,</w:t>
                  </w:r>
                  <w:r>
                    <w:t xml:space="preserve"> industry supported vocational outcome, maintain the integrity of the AQF level of this qualification and do not duplicate the outcome of another unit </w:t>
                  </w:r>
                  <w:r w:rsidR="001C2684">
                    <w:t xml:space="preserve">used </w:t>
                  </w:r>
                  <w:r>
                    <w:t>to achieve the qualification.</w:t>
                  </w:r>
                </w:p>
                <w:p w14:paraId="473D8DA4" w14:textId="77777777" w:rsidR="00A47984" w:rsidRDefault="00A47984" w:rsidP="0054091E">
                  <w:pPr>
                    <w:pStyle w:val="BodyText"/>
                    <w:rPr>
                      <w:rStyle w:val="SpecialBold"/>
                    </w:rPr>
                  </w:pPr>
                </w:p>
                <w:p w14:paraId="645D9E7F" w14:textId="7DF1FB2B" w:rsidR="007C1C73" w:rsidRDefault="007C1C73" w:rsidP="0054091E">
                  <w:pPr>
                    <w:pStyle w:val="BodyText"/>
                    <w:rPr>
                      <w:lang w:val="en-NZ"/>
                    </w:rPr>
                  </w:pPr>
                  <w:r w:rsidRPr="006556A7">
                    <w:rPr>
                      <w:rStyle w:val="SpecialBold"/>
                    </w:rPr>
                    <w:t xml:space="preserve">Core </w:t>
                  </w:r>
                </w:p>
              </w:tc>
            </w:tr>
            <w:tr w:rsidR="00EA341D" w14:paraId="7B5E4EA0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7382236" w14:textId="22EA6AE0" w:rsidR="00EA341D" w:rsidRPr="007C15DF" w:rsidRDefault="00261FE8" w:rsidP="00EA341D">
                  <w:pPr>
                    <w:pStyle w:val="BodyText"/>
                  </w:pPr>
                  <w:hyperlink r:id="rId11" w:history="1">
                    <w:r w:rsidR="00EA341D" w:rsidRPr="00A94460">
                      <w:rPr>
                        <w:rStyle w:val="Hyperlink"/>
                        <w:color w:val="auto"/>
                      </w:rPr>
                      <w:t>CPCCWHS1001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F85641C" w14:textId="04DF7637" w:rsidR="00EA341D" w:rsidRPr="007C15DF" w:rsidRDefault="00EA341D" w:rsidP="00EA341D">
                  <w:pPr>
                    <w:pStyle w:val="BodyText"/>
                  </w:pPr>
                  <w:r w:rsidRPr="007C15DF">
                    <w:t>Prepare to work safely in the construction industry</w:t>
                  </w:r>
                  <w:r>
                    <w:t xml:space="preserve"> </w:t>
                  </w:r>
                </w:p>
              </w:tc>
            </w:tr>
            <w:tr w:rsidR="0043312B" w14:paraId="7648C95C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7746FAA" w14:textId="6253188A" w:rsidR="0043312B" w:rsidRPr="00637F79" w:rsidRDefault="009066E6" w:rsidP="0043312B">
                  <w:r w:rsidRPr="00FE0927">
                    <w:t>CPPSSI2012</w:t>
                  </w:r>
                </w:p>
                <w:p w14:paraId="22D7EF5B" w14:textId="670F0638" w:rsidR="0043312B" w:rsidRPr="0077091B" w:rsidRDefault="009066E6" w:rsidP="0043312B">
                  <w:r w:rsidRPr="00FE0927">
                    <w:t>CPPSSI2013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F82C127" w14:textId="77777777" w:rsidR="0043312B" w:rsidRPr="00637F79" w:rsidRDefault="0043312B" w:rsidP="0043312B">
                  <w:r w:rsidRPr="0077091B">
                    <w:t>Assist in collecting basic spatial data</w:t>
                  </w:r>
                </w:p>
                <w:p w14:paraId="510635BF" w14:textId="60BB44FF" w:rsidR="0043312B" w:rsidRPr="0077091B" w:rsidRDefault="0043312B" w:rsidP="0043312B">
                  <w:r w:rsidRPr="0077091B">
                    <w:t>Store and retrieve basic spatial data</w:t>
                  </w:r>
                </w:p>
              </w:tc>
            </w:tr>
            <w:tr w:rsidR="0043312B" w14:paraId="0768F63D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39D8AC1" w14:textId="1707E3ED" w:rsidR="0043312B" w:rsidRPr="0077091B" w:rsidRDefault="009066E6" w:rsidP="0043312B">
                  <w:r w:rsidRPr="00FE0927">
                    <w:t>CPPSSI3011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DE0E2C9" w14:textId="44BB0D00" w:rsidR="0043312B" w:rsidRPr="0077091B" w:rsidRDefault="0043312B" w:rsidP="0043312B">
                  <w:r w:rsidRPr="00950610">
                    <w:t>Produce basic maps</w:t>
                  </w:r>
                </w:p>
              </w:tc>
            </w:tr>
            <w:tr w:rsidR="00EA341D" w14:paraId="5723FEED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A650DC2" w14:textId="1E4DDCBF" w:rsidR="00EA341D" w:rsidRPr="0043312B" w:rsidRDefault="0043312B" w:rsidP="00EA341D">
                  <w:pPr>
                    <w:pStyle w:val="BodyText"/>
                    <w:rPr>
                      <w:b/>
                      <w:bCs/>
                      <w:lang w:val="en-NZ"/>
                    </w:rPr>
                  </w:pPr>
                  <w:r w:rsidRPr="0043312B">
                    <w:rPr>
                      <w:b/>
                      <w:bCs/>
                      <w:lang w:val="en-NZ"/>
                    </w:rPr>
                    <w:t>Elective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1CD96EE" w14:textId="7C5785F5" w:rsidR="00EA341D" w:rsidRPr="00950610" w:rsidRDefault="00EA341D" w:rsidP="00EA341D">
                  <w:pPr>
                    <w:pStyle w:val="BodyText"/>
                    <w:rPr>
                      <w:lang w:val="en-NZ"/>
                    </w:rPr>
                  </w:pPr>
                </w:p>
              </w:tc>
            </w:tr>
            <w:tr w:rsidR="006C59F1" w14:paraId="5ED68FAA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25DD635" w14:textId="12372067" w:rsidR="006C59F1" w:rsidRDefault="00261FE8" w:rsidP="006C59F1">
                  <w:hyperlink r:id="rId12" w:history="1">
                    <w:r w:rsidR="006C59F1" w:rsidRPr="006C59F1">
                      <w:rPr>
                        <w:rStyle w:val="Hyperlink"/>
                      </w:rPr>
                      <w:t>AHCNAR307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4EF63DB" w14:textId="1FCF9187" w:rsidR="006C59F1" w:rsidRPr="00042D93" w:rsidRDefault="006C59F1" w:rsidP="006C59F1">
                  <w:r w:rsidRPr="00042D93">
                    <w:t>Read and interpret maps</w:t>
                  </w:r>
                </w:p>
              </w:tc>
            </w:tr>
            <w:tr w:rsidR="006C59F1" w14:paraId="0449D6F5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4DE8D07" w14:textId="47761D98" w:rsidR="006C59F1" w:rsidRDefault="00261FE8" w:rsidP="006C59F1">
                  <w:hyperlink r:id="rId13" w:history="1">
                    <w:r w:rsidR="006C59F1" w:rsidRPr="001C2684">
                      <w:rPr>
                        <w:rStyle w:val="Hyperlink"/>
                      </w:rPr>
                      <w:t>BSBSUS201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8D52719" w14:textId="5CC9DED3" w:rsidR="006C59F1" w:rsidRPr="00950610" w:rsidRDefault="006C59F1" w:rsidP="006C59F1">
                  <w:r w:rsidRPr="00042D93">
                    <w:t>Participate in environmentally sustainable work practice</w:t>
                  </w:r>
                  <w:r>
                    <w:t>s</w:t>
                  </w:r>
                </w:p>
              </w:tc>
            </w:tr>
            <w:tr w:rsidR="006C59F1" w14:paraId="14B209A4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6AB7BE3" w14:textId="0991B2BD" w:rsidR="006C59F1" w:rsidRDefault="00261FE8" w:rsidP="006C59F1">
                  <w:pPr>
                    <w:pStyle w:val="BodyText"/>
                  </w:pPr>
                  <w:hyperlink r:id="rId14" w:history="1">
                    <w:r w:rsidR="006C59F1" w:rsidRPr="006C59F1">
                      <w:rPr>
                        <w:rStyle w:val="Hyperlink"/>
                      </w:rPr>
                      <w:t>BSBCMM201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BBC5FBF" w14:textId="3582B29C" w:rsidR="006C59F1" w:rsidRPr="00950610" w:rsidRDefault="006C59F1" w:rsidP="006C59F1">
                  <w:pPr>
                    <w:pStyle w:val="BodyText"/>
                  </w:pPr>
                  <w:r>
                    <w:t>Communicate in the workplace</w:t>
                  </w:r>
                </w:p>
              </w:tc>
            </w:tr>
            <w:tr w:rsidR="006C59F1" w14:paraId="18BA55FB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AF7BB77" w14:textId="6C958129" w:rsidR="006C59F1" w:rsidRDefault="009066E6" w:rsidP="006C59F1">
                  <w:pPr>
                    <w:pStyle w:val="BodyText"/>
                    <w:rPr>
                      <w:lang w:val="en-NZ"/>
                    </w:rPr>
                  </w:pPr>
                  <w:r w:rsidRPr="00FE0927">
                    <w:t>CPPSSI3015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CDF9741" w14:textId="00EA10F4" w:rsidR="006C59F1" w:rsidRPr="00950610" w:rsidRDefault="006C59F1" w:rsidP="006C59F1">
                  <w:pPr>
                    <w:pStyle w:val="BodyText"/>
                    <w:rPr>
                      <w:lang w:val="en-NZ"/>
                    </w:rPr>
                  </w:pPr>
                  <w:r w:rsidRPr="00950610">
                    <w:t xml:space="preserve">Collect basic surveying data </w:t>
                  </w:r>
                </w:p>
              </w:tc>
            </w:tr>
            <w:tr w:rsidR="006C59F1" w14:paraId="5B910AD0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82409E4" w14:textId="284AB475" w:rsidR="006C59F1" w:rsidRDefault="009066E6" w:rsidP="006C59F1">
                  <w:pPr>
                    <w:pStyle w:val="BodyText"/>
                  </w:pPr>
                  <w:r w:rsidRPr="00FE0927">
                    <w:t>CPPSSI3019</w:t>
                  </w:r>
                </w:p>
                <w:p w14:paraId="3F814EF5" w14:textId="07BD4EE2" w:rsidR="006C59F1" w:rsidRDefault="009066E6" w:rsidP="006C59F1">
                  <w:pPr>
                    <w:pStyle w:val="BodyText"/>
                    <w:rPr>
                      <w:lang w:val="en-NZ"/>
                    </w:rPr>
                  </w:pPr>
                  <w:r w:rsidRPr="00FE0927">
                    <w:t>CPPSSI3020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D136DAB" w14:textId="2E991EAF" w:rsidR="006C59F1" w:rsidRDefault="006C59F1" w:rsidP="006C59F1">
                  <w:pPr>
                    <w:pStyle w:val="BodyText"/>
                  </w:pPr>
                  <w:r w:rsidRPr="007C15DF">
                    <w:t>Produce basic plans of surveys</w:t>
                  </w:r>
                  <w:r>
                    <w:t xml:space="preserve"> </w:t>
                  </w:r>
                </w:p>
                <w:p w14:paraId="5EBEDF80" w14:textId="58226302" w:rsidR="006C59F1" w:rsidRDefault="006C59F1" w:rsidP="006C59F1">
                  <w:pPr>
                    <w:pStyle w:val="BodyText"/>
                    <w:rPr>
                      <w:lang w:val="en-NZ"/>
                    </w:rPr>
                  </w:pPr>
                  <w:r>
                    <w:t xml:space="preserve">Perform </w:t>
                  </w:r>
                  <w:r w:rsidR="00BE7CEB">
                    <w:t xml:space="preserve">simple </w:t>
                  </w:r>
                  <w:r>
                    <w:t xml:space="preserve">surveying </w:t>
                  </w:r>
                  <w:r w:rsidR="00BE7CEB">
                    <w:t xml:space="preserve">and spatial </w:t>
                  </w:r>
                  <w:r>
                    <w:t xml:space="preserve">computations </w:t>
                  </w:r>
                </w:p>
              </w:tc>
            </w:tr>
            <w:tr w:rsidR="006C59F1" w14:paraId="14F55F08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942C583" w14:textId="57AE351B" w:rsidR="006C59F1" w:rsidRPr="00A94460" w:rsidRDefault="006C59F1" w:rsidP="006C59F1">
                  <w:pPr>
                    <w:pStyle w:val="BodyText"/>
                  </w:pP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1A01293" w14:textId="1FD208F4" w:rsidR="006C59F1" w:rsidRPr="00BF2ECA" w:rsidRDefault="006C59F1" w:rsidP="006C59F1">
                  <w:pPr>
                    <w:pStyle w:val="BodyText"/>
                  </w:pPr>
                </w:p>
              </w:tc>
            </w:tr>
            <w:tr w:rsidR="006C59F1" w14:paraId="3F728C32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960F3A4" w14:textId="4E3D97AB" w:rsidR="006C59F1" w:rsidRDefault="006C59F1" w:rsidP="006C59F1"/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76F99F7" w14:textId="6AD0258E" w:rsidR="006C59F1" w:rsidRPr="00042D93" w:rsidRDefault="006C59F1" w:rsidP="006C59F1"/>
              </w:tc>
            </w:tr>
            <w:tr w:rsidR="006C59F1" w14:paraId="6B6B8BA4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683DF4D" w14:textId="6FC5A82A" w:rsidR="006C59F1" w:rsidRPr="00637F79" w:rsidRDefault="009066E6" w:rsidP="006C59F1">
                  <w:r w:rsidRPr="00FE0927">
                    <w:lastRenderedPageBreak/>
                    <w:t>CPPSSI2015</w:t>
                  </w:r>
                </w:p>
                <w:p w14:paraId="13BE98F1" w14:textId="44CFAB4F" w:rsidR="006C59F1" w:rsidRPr="00637F79" w:rsidRDefault="00A12FE3" w:rsidP="006C59F1">
                  <w:hyperlink r:id="rId15" w:history="1">
                    <w:r w:rsidRPr="00A12FE3">
                      <w:rPr>
                        <w:rStyle w:val="Hyperlink"/>
                      </w:rPr>
                      <w:t>ICTICT</w:t>
                    </w:r>
                    <w:r w:rsidRPr="00A12FE3">
                      <w:rPr>
                        <w:rStyle w:val="Hyperlink"/>
                      </w:rPr>
                      <w:t>2</w:t>
                    </w:r>
                    <w:r w:rsidRPr="00A12FE3">
                      <w:rPr>
                        <w:rStyle w:val="Hyperlink"/>
                      </w:rPr>
                      <w:t>14</w:t>
                    </w:r>
                  </w:hyperlink>
                </w:p>
                <w:p w14:paraId="4394252E" w14:textId="1B0C8A8E" w:rsidR="006C59F1" w:rsidRPr="00A94460" w:rsidRDefault="00A12FE3" w:rsidP="00A12FE3">
                  <w:hyperlink r:id="rId16" w:history="1">
                    <w:r w:rsidRPr="00A12FE3">
                      <w:rPr>
                        <w:rStyle w:val="Hyperlink"/>
                      </w:rPr>
                      <w:t>ICTICT221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7723BE5" w14:textId="77777777" w:rsidR="006C59F1" w:rsidRPr="00637F79" w:rsidRDefault="006C59F1" w:rsidP="006C59F1">
                  <w:r w:rsidRPr="00042D93">
                    <w:t>Assist with surveying and spatial field activities</w:t>
                  </w:r>
                </w:p>
                <w:p w14:paraId="749FDDD0" w14:textId="77777777" w:rsidR="006C59F1" w:rsidRPr="00637F79" w:rsidRDefault="006C59F1" w:rsidP="006C59F1">
                  <w:r w:rsidRPr="00042D93">
                    <w:t>Operate application software packages</w:t>
                  </w:r>
                </w:p>
                <w:p w14:paraId="0281DDC0" w14:textId="4467869E" w:rsidR="006C59F1" w:rsidRPr="00637F79" w:rsidRDefault="006C59F1" w:rsidP="006C59F1">
                  <w:r w:rsidRPr="00042D93">
                    <w:t xml:space="preserve">Identify and use </w:t>
                  </w:r>
                  <w:r w:rsidR="00A12FE3" w:rsidRPr="00042D93">
                    <w:t xml:space="preserve">specific </w:t>
                  </w:r>
                  <w:r w:rsidRPr="00042D93">
                    <w:t>industry</w:t>
                  </w:r>
                  <w:r w:rsidR="00A12FE3">
                    <w:t xml:space="preserve"> standard </w:t>
                  </w:r>
                  <w:r w:rsidRPr="00042D93">
                    <w:t>technologies</w:t>
                  </w:r>
                  <w:r w:rsidR="00BE7CEB">
                    <w:t>.</w:t>
                  </w:r>
                </w:p>
                <w:p w14:paraId="25633EC3" w14:textId="39889F3A" w:rsidR="006C59F1" w:rsidRPr="00EA341D" w:rsidRDefault="006C59F1" w:rsidP="006C59F1">
                  <w:pPr>
                    <w:pStyle w:val="BodyText"/>
                  </w:pPr>
                </w:p>
              </w:tc>
            </w:tr>
          </w:tbl>
          <w:p w14:paraId="25339C66" w14:textId="1839907D" w:rsidR="001666F9" w:rsidRPr="00E26B04" w:rsidRDefault="001666F9" w:rsidP="001666F9">
            <w:pPr>
              <w:spacing w:before="120" w:after="120" w:line="240" w:lineRule="atLeast"/>
              <w:ind w:left="-60"/>
              <w:rPr>
                <w:lang w:val="en-NZ"/>
              </w:rPr>
            </w:pPr>
          </w:p>
        </w:tc>
      </w:tr>
    </w:tbl>
    <w:p w14:paraId="7A6E1353" w14:textId="71187C8A" w:rsidR="00BD3FAE" w:rsidRPr="009A5395" w:rsidRDefault="009A5395" w:rsidP="00EA341D">
      <w:pPr>
        <w:ind w:hanging="1876"/>
        <w:rPr>
          <w:b/>
          <w:bCs/>
          <w:color w:val="FF0000"/>
        </w:rPr>
      </w:pPr>
      <w:r w:rsidRPr="009A5395">
        <w:rPr>
          <w:color w:val="FF0000"/>
        </w:rPr>
        <w:lastRenderedPageBreak/>
        <w:t>M</w:t>
      </w:r>
    </w:p>
    <w:p w14:paraId="075ED8D1" w14:textId="6CFE1A21" w:rsidR="00612E2D" w:rsidRDefault="00CD528A" w:rsidP="00C25A14">
      <w:pPr>
        <w:ind w:left="142"/>
        <w:rPr>
          <w:b/>
          <w:bCs/>
        </w:rPr>
      </w:pPr>
      <w:r w:rsidRPr="00342D03">
        <w:rPr>
          <w:b/>
          <w:bCs/>
        </w:rPr>
        <w:t>QUALIFICATION MAPPING INFORMATION</w:t>
      </w:r>
    </w:p>
    <w:p w14:paraId="6B3D47EE" w14:textId="08351DDA" w:rsidR="0090780C" w:rsidRPr="00034FAF" w:rsidRDefault="006A0156" w:rsidP="00C25A14">
      <w:pPr>
        <w:ind w:left="142"/>
      </w:pPr>
      <w:r w:rsidRPr="00034FAF">
        <w:rPr>
          <w:lang w:eastAsia="en-AU"/>
        </w:rPr>
        <w:t xml:space="preserve">The </w:t>
      </w:r>
      <w:r w:rsidR="00034FAF" w:rsidRPr="00034FAF">
        <w:rPr>
          <w:lang w:eastAsia="en-AU"/>
        </w:rPr>
        <w:t xml:space="preserve">CPP20120 </w:t>
      </w:r>
      <w:r w:rsidR="0090780C" w:rsidRPr="00034FAF">
        <w:rPr>
          <w:lang w:eastAsia="en-AU"/>
        </w:rPr>
        <w:t>Certificate II in Surveying and Spatial Information Services</w:t>
      </w:r>
      <w:r w:rsidR="0090780C" w:rsidRPr="00034FAF">
        <w:t xml:space="preserve"> </w:t>
      </w:r>
      <w:r w:rsidR="00034FAF" w:rsidRPr="00034FAF">
        <w:t xml:space="preserve">supersedes and </w:t>
      </w:r>
      <w:r w:rsidR="00CF73CE" w:rsidRPr="00DF09CF">
        <w:t>is equivalent</w:t>
      </w:r>
      <w:r w:rsidR="00034FAF" w:rsidRPr="00DF09CF">
        <w:t xml:space="preserve"> to the </w:t>
      </w:r>
      <w:r w:rsidR="00034FAF" w:rsidRPr="00DF09CF">
        <w:rPr>
          <w:lang w:eastAsia="en-AU"/>
        </w:rPr>
        <w:t>CPP20116 Certificate II in Surveying and Spatial Information Servic</w:t>
      </w:r>
      <w:r w:rsidR="00034FAF" w:rsidRPr="00034FAF">
        <w:rPr>
          <w:lang w:eastAsia="en-AU"/>
        </w:rPr>
        <w:t>es.</w:t>
      </w:r>
    </w:p>
    <w:p w14:paraId="5055845D" w14:textId="77777777" w:rsidR="00951A7F" w:rsidRDefault="00951A7F" w:rsidP="0090780C">
      <w:pPr>
        <w:spacing w:before="60" w:after="0" w:line="240" w:lineRule="auto"/>
        <w:ind w:left="142"/>
        <w:rPr>
          <w:b/>
          <w:bCs/>
        </w:rPr>
      </w:pPr>
      <w:bookmarkStart w:id="2" w:name="O_661075"/>
      <w:bookmarkEnd w:id="2"/>
    </w:p>
    <w:p w14:paraId="46DA6AC0" w14:textId="37303B08" w:rsidR="00612E2D" w:rsidRPr="00342D03" w:rsidRDefault="00CD528A" w:rsidP="0090780C">
      <w:pPr>
        <w:spacing w:before="60" w:after="0" w:line="240" w:lineRule="auto"/>
        <w:ind w:left="142"/>
        <w:rPr>
          <w:b/>
          <w:bCs/>
        </w:rPr>
      </w:pPr>
      <w:r w:rsidRPr="00342D03">
        <w:rPr>
          <w:b/>
          <w:bCs/>
        </w:rPr>
        <w:t>LINKS</w:t>
      </w:r>
    </w:p>
    <w:p w14:paraId="18C14A2D" w14:textId="17836EC4" w:rsidR="00C25A14" w:rsidRDefault="00C25A14" w:rsidP="0090780C">
      <w:pPr>
        <w:ind w:left="142"/>
        <w:rPr>
          <w:rStyle w:val="Hyperlink"/>
          <w:rFonts w:cs="Calibri"/>
        </w:rPr>
      </w:pPr>
      <w:bookmarkStart w:id="3" w:name="_Hlk1376843"/>
      <w:bookmarkStart w:id="4" w:name="_Hlk1376517"/>
      <w:bookmarkStart w:id="5" w:name="_Hlk25151899"/>
      <w:r>
        <w:t xml:space="preserve">The Companion Volume </w:t>
      </w:r>
      <w:r w:rsidRPr="00D1223C">
        <w:t>Implementation Guide</w:t>
      </w:r>
      <w:r>
        <w:t xml:space="preserve"> for the </w:t>
      </w:r>
      <w:r w:rsidR="006A0156">
        <w:t xml:space="preserve">CPP </w:t>
      </w:r>
      <w:r>
        <w:t xml:space="preserve">Property Services Training Package is available at: </w:t>
      </w:r>
      <w:bookmarkEnd w:id="3"/>
      <w:bookmarkEnd w:id="4"/>
      <w:r>
        <w:rPr>
          <w:rFonts w:asciiTheme="minorHAnsi" w:hAnsiTheme="minorHAnsi"/>
        </w:rPr>
        <w:fldChar w:fldCharType="begin"/>
      </w:r>
      <w:r>
        <w:instrText xml:space="preserve"> HYPERLINK "https://vetnet.education.gov.au/Pages/TrainingDocs.aspx?q=6f3f9672-30e8-4835-b348-205dfcf13d9b" </w:instrText>
      </w:r>
      <w:r>
        <w:rPr>
          <w:rFonts w:asciiTheme="minorHAnsi" w:hAnsiTheme="minorHAnsi"/>
        </w:rPr>
        <w:fldChar w:fldCharType="separate"/>
      </w:r>
      <w:r w:rsidRPr="00AD57CB">
        <w:rPr>
          <w:rStyle w:val="Hyperlink"/>
          <w:rFonts w:cs="Calibri"/>
        </w:rPr>
        <w:t>https://vetnet.education.gov.au/Pages/TrainingDocs.aspx?q=6f3f9672-30e8-4835-b348-205dfcf13d9b</w:t>
      </w:r>
      <w:r>
        <w:rPr>
          <w:rStyle w:val="Hyperlink"/>
          <w:rFonts w:cs="Calibri"/>
        </w:rPr>
        <w:fldChar w:fldCharType="end"/>
      </w:r>
    </w:p>
    <w:bookmarkEnd w:id="5"/>
    <w:p w14:paraId="3818078B" w14:textId="0CE64434" w:rsidR="00D12AFD" w:rsidRDefault="00D12AFD" w:rsidP="0090780C">
      <w:pPr>
        <w:spacing w:before="60" w:after="0" w:line="240" w:lineRule="auto"/>
        <w:ind w:left="142"/>
        <w:rPr>
          <w:rStyle w:val="Hyperlink"/>
        </w:rPr>
      </w:pPr>
    </w:p>
    <w:p w14:paraId="7743A01C" w14:textId="2AABBD70" w:rsidR="0043312B" w:rsidRPr="00637F79" w:rsidRDefault="0043312B" w:rsidP="0043312B"/>
    <w:sectPr w:rsidR="0043312B" w:rsidRPr="00637F79" w:rsidSect="00543218">
      <w:headerReference w:type="default" r:id="rId17"/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E564" w14:textId="77777777" w:rsidR="00261FE8" w:rsidRDefault="00261FE8" w:rsidP="001B7D8E">
      <w:pPr>
        <w:spacing w:after="0" w:line="240" w:lineRule="auto"/>
      </w:pPr>
      <w:r>
        <w:separator/>
      </w:r>
    </w:p>
  </w:endnote>
  <w:endnote w:type="continuationSeparator" w:id="0">
    <w:p w14:paraId="03B06153" w14:textId="77777777" w:rsidR="00261FE8" w:rsidRDefault="00261FE8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023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70703629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62E9" w14:textId="77777777" w:rsidR="00261FE8" w:rsidRDefault="00261FE8" w:rsidP="001B7D8E">
      <w:pPr>
        <w:spacing w:after="0" w:line="240" w:lineRule="auto"/>
      </w:pPr>
      <w:r>
        <w:separator/>
      </w:r>
    </w:p>
  </w:footnote>
  <w:footnote w:type="continuationSeparator" w:id="0">
    <w:p w14:paraId="3A326A77" w14:textId="77777777" w:rsidR="00261FE8" w:rsidRDefault="00261FE8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E58F" w14:textId="0EB29E57" w:rsidR="001B7D8E" w:rsidRDefault="00261FE8">
    <w:pPr>
      <w:pStyle w:val="Header"/>
    </w:pPr>
    <w:sdt>
      <w:sdtPr>
        <w:id w:val="6733057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E7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04E7"/>
    <w:multiLevelType w:val="hybridMultilevel"/>
    <w:tmpl w:val="A37A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5C46"/>
    <w:multiLevelType w:val="hybridMultilevel"/>
    <w:tmpl w:val="3FD0753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2B121B"/>
    <w:multiLevelType w:val="hybridMultilevel"/>
    <w:tmpl w:val="96888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30237646"/>
    <w:multiLevelType w:val="hybridMultilevel"/>
    <w:tmpl w:val="C5225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8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B32A1"/>
    <w:multiLevelType w:val="hybridMultilevel"/>
    <w:tmpl w:val="AD9605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D5F8E"/>
    <w:multiLevelType w:val="hybridMultilevel"/>
    <w:tmpl w:val="5D66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0F2E"/>
    <w:multiLevelType w:val="hybridMultilevel"/>
    <w:tmpl w:val="F1865EB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1076BA1"/>
    <w:multiLevelType w:val="hybridMultilevel"/>
    <w:tmpl w:val="A9780F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02D82"/>
    <w:rsid w:val="000101EE"/>
    <w:rsid w:val="00015E30"/>
    <w:rsid w:val="000230B1"/>
    <w:rsid w:val="000335C0"/>
    <w:rsid w:val="00034FAF"/>
    <w:rsid w:val="000353BE"/>
    <w:rsid w:val="00041BB1"/>
    <w:rsid w:val="00047B09"/>
    <w:rsid w:val="00072ECC"/>
    <w:rsid w:val="00090EB4"/>
    <w:rsid w:val="000A5309"/>
    <w:rsid w:val="000A7CA5"/>
    <w:rsid w:val="000B57CF"/>
    <w:rsid w:val="000B6792"/>
    <w:rsid w:val="000C3CAC"/>
    <w:rsid w:val="000C5E58"/>
    <w:rsid w:val="000C759D"/>
    <w:rsid w:val="000D1515"/>
    <w:rsid w:val="000D35EA"/>
    <w:rsid w:val="000D68D9"/>
    <w:rsid w:val="000E3CFB"/>
    <w:rsid w:val="000E5D76"/>
    <w:rsid w:val="000F3322"/>
    <w:rsid w:val="000F4049"/>
    <w:rsid w:val="000F5464"/>
    <w:rsid w:val="000F55D0"/>
    <w:rsid w:val="001005C7"/>
    <w:rsid w:val="00113A1E"/>
    <w:rsid w:val="00131BFF"/>
    <w:rsid w:val="00133D27"/>
    <w:rsid w:val="0015505B"/>
    <w:rsid w:val="0016014B"/>
    <w:rsid w:val="001666F9"/>
    <w:rsid w:val="00167598"/>
    <w:rsid w:val="0017367D"/>
    <w:rsid w:val="00174C6B"/>
    <w:rsid w:val="001838F2"/>
    <w:rsid w:val="00193E0D"/>
    <w:rsid w:val="001958B6"/>
    <w:rsid w:val="001B63A7"/>
    <w:rsid w:val="001B7D8E"/>
    <w:rsid w:val="001C2684"/>
    <w:rsid w:val="001C3869"/>
    <w:rsid w:val="001C4379"/>
    <w:rsid w:val="001E545B"/>
    <w:rsid w:val="002036D2"/>
    <w:rsid w:val="00203A9B"/>
    <w:rsid w:val="00214144"/>
    <w:rsid w:val="00214CA8"/>
    <w:rsid w:val="002214A9"/>
    <w:rsid w:val="00227956"/>
    <w:rsid w:val="00252FE0"/>
    <w:rsid w:val="00253EFD"/>
    <w:rsid w:val="00261FE8"/>
    <w:rsid w:val="00275118"/>
    <w:rsid w:val="00284325"/>
    <w:rsid w:val="002C1259"/>
    <w:rsid w:val="002C2AFE"/>
    <w:rsid w:val="002C321F"/>
    <w:rsid w:val="002C73B5"/>
    <w:rsid w:val="002D3D7D"/>
    <w:rsid w:val="002F3BCC"/>
    <w:rsid w:val="00302562"/>
    <w:rsid w:val="003230DB"/>
    <w:rsid w:val="00326BD9"/>
    <w:rsid w:val="003304D4"/>
    <w:rsid w:val="00330A15"/>
    <w:rsid w:val="0033308D"/>
    <w:rsid w:val="003531E0"/>
    <w:rsid w:val="00354491"/>
    <w:rsid w:val="00356CC1"/>
    <w:rsid w:val="0036422E"/>
    <w:rsid w:val="0037035E"/>
    <w:rsid w:val="00380F44"/>
    <w:rsid w:val="00385285"/>
    <w:rsid w:val="00390FB8"/>
    <w:rsid w:val="003A2FB0"/>
    <w:rsid w:val="003A3AFE"/>
    <w:rsid w:val="003B3FA9"/>
    <w:rsid w:val="003C0076"/>
    <w:rsid w:val="003C6336"/>
    <w:rsid w:val="003D468E"/>
    <w:rsid w:val="003D4C0F"/>
    <w:rsid w:val="003D7C7F"/>
    <w:rsid w:val="003E2983"/>
    <w:rsid w:val="003E45E6"/>
    <w:rsid w:val="003E668D"/>
    <w:rsid w:val="003E734D"/>
    <w:rsid w:val="003F15B7"/>
    <w:rsid w:val="0041218A"/>
    <w:rsid w:val="00414F53"/>
    <w:rsid w:val="00416CA3"/>
    <w:rsid w:val="0043312B"/>
    <w:rsid w:val="00443B03"/>
    <w:rsid w:val="004561A0"/>
    <w:rsid w:val="004615A2"/>
    <w:rsid w:val="00466DE9"/>
    <w:rsid w:val="004707D8"/>
    <w:rsid w:val="00472126"/>
    <w:rsid w:val="00483326"/>
    <w:rsid w:val="004867EB"/>
    <w:rsid w:val="0049095E"/>
    <w:rsid w:val="0049719B"/>
    <w:rsid w:val="004A6087"/>
    <w:rsid w:val="004B0F7C"/>
    <w:rsid w:val="004B4787"/>
    <w:rsid w:val="004C0579"/>
    <w:rsid w:val="004C5400"/>
    <w:rsid w:val="004D185D"/>
    <w:rsid w:val="0050204A"/>
    <w:rsid w:val="00514ADE"/>
    <w:rsid w:val="0053341E"/>
    <w:rsid w:val="00543218"/>
    <w:rsid w:val="00546A95"/>
    <w:rsid w:val="00546FFF"/>
    <w:rsid w:val="0055341C"/>
    <w:rsid w:val="00557C2C"/>
    <w:rsid w:val="00560F2A"/>
    <w:rsid w:val="00567105"/>
    <w:rsid w:val="00586961"/>
    <w:rsid w:val="005871EF"/>
    <w:rsid w:val="00594D01"/>
    <w:rsid w:val="005A5975"/>
    <w:rsid w:val="005B4405"/>
    <w:rsid w:val="005B6765"/>
    <w:rsid w:val="005C3DD5"/>
    <w:rsid w:val="005C7383"/>
    <w:rsid w:val="005D5EA2"/>
    <w:rsid w:val="005F3AB5"/>
    <w:rsid w:val="006071B0"/>
    <w:rsid w:val="00611444"/>
    <w:rsid w:val="00612E2D"/>
    <w:rsid w:val="00615E84"/>
    <w:rsid w:val="00623F9F"/>
    <w:rsid w:val="00624C32"/>
    <w:rsid w:val="006250F7"/>
    <w:rsid w:val="00652CCC"/>
    <w:rsid w:val="00663FB3"/>
    <w:rsid w:val="0067115A"/>
    <w:rsid w:val="00675A08"/>
    <w:rsid w:val="006939B9"/>
    <w:rsid w:val="00696BED"/>
    <w:rsid w:val="006A0156"/>
    <w:rsid w:val="006A037A"/>
    <w:rsid w:val="006B3E24"/>
    <w:rsid w:val="006B6AAA"/>
    <w:rsid w:val="006C0DFA"/>
    <w:rsid w:val="006C1E5D"/>
    <w:rsid w:val="006C31C2"/>
    <w:rsid w:val="006C461C"/>
    <w:rsid w:val="006C59F1"/>
    <w:rsid w:val="006D159E"/>
    <w:rsid w:val="006D3416"/>
    <w:rsid w:val="006D4B1C"/>
    <w:rsid w:val="006D7DC8"/>
    <w:rsid w:val="006F274B"/>
    <w:rsid w:val="00714532"/>
    <w:rsid w:val="00715A59"/>
    <w:rsid w:val="007176F9"/>
    <w:rsid w:val="00733805"/>
    <w:rsid w:val="00734F91"/>
    <w:rsid w:val="00736BC3"/>
    <w:rsid w:val="00740DCF"/>
    <w:rsid w:val="00745485"/>
    <w:rsid w:val="00747F91"/>
    <w:rsid w:val="00765DC1"/>
    <w:rsid w:val="0076732B"/>
    <w:rsid w:val="007707BE"/>
    <w:rsid w:val="00773F45"/>
    <w:rsid w:val="007742DC"/>
    <w:rsid w:val="007745E3"/>
    <w:rsid w:val="007A485C"/>
    <w:rsid w:val="007A4C26"/>
    <w:rsid w:val="007A5D3F"/>
    <w:rsid w:val="007A62CF"/>
    <w:rsid w:val="007B1249"/>
    <w:rsid w:val="007C1711"/>
    <w:rsid w:val="007C1C73"/>
    <w:rsid w:val="007D58C3"/>
    <w:rsid w:val="007F0099"/>
    <w:rsid w:val="007F0D8B"/>
    <w:rsid w:val="007F1E36"/>
    <w:rsid w:val="00810FDB"/>
    <w:rsid w:val="00812EF3"/>
    <w:rsid w:val="008144BC"/>
    <w:rsid w:val="00814865"/>
    <w:rsid w:val="00821D14"/>
    <w:rsid w:val="00827A35"/>
    <w:rsid w:val="00833193"/>
    <w:rsid w:val="00842121"/>
    <w:rsid w:val="0084389C"/>
    <w:rsid w:val="00845BF1"/>
    <w:rsid w:val="008507FD"/>
    <w:rsid w:val="0085667F"/>
    <w:rsid w:val="00862003"/>
    <w:rsid w:val="008710D4"/>
    <w:rsid w:val="00871540"/>
    <w:rsid w:val="00872F7C"/>
    <w:rsid w:val="0087562D"/>
    <w:rsid w:val="0088170E"/>
    <w:rsid w:val="00883063"/>
    <w:rsid w:val="00886716"/>
    <w:rsid w:val="008A2EA4"/>
    <w:rsid w:val="008A3E52"/>
    <w:rsid w:val="008A4D91"/>
    <w:rsid w:val="008B22CC"/>
    <w:rsid w:val="008B76DA"/>
    <w:rsid w:val="008C324F"/>
    <w:rsid w:val="008D2B3F"/>
    <w:rsid w:val="008D3B7C"/>
    <w:rsid w:val="008D45D8"/>
    <w:rsid w:val="008D51EC"/>
    <w:rsid w:val="008E1C74"/>
    <w:rsid w:val="008E4B90"/>
    <w:rsid w:val="009048DA"/>
    <w:rsid w:val="009049EF"/>
    <w:rsid w:val="009066E6"/>
    <w:rsid w:val="0090780C"/>
    <w:rsid w:val="009115EE"/>
    <w:rsid w:val="00915FE9"/>
    <w:rsid w:val="00932A4E"/>
    <w:rsid w:val="0093390B"/>
    <w:rsid w:val="00937880"/>
    <w:rsid w:val="00950610"/>
    <w:rsid w:val="00950E9E"/>
    <w:rsid w:val="00951A7F"/>
    <w:rsid w:val="00954841"/>
    <w:rsid w:val="009554DC"/>
    <w:rsid w:val="00966009"/>
    <w:rsid w:val="00970FCD"/>
    <w:rsid w:val="009768EA"/>
    <w:rsid w:val="00976A15"/>
    <w:rsid w:val="0097790C"/>
    <w:rsid w:val="00984452"/>
    <w:rsid w:val="009864AC"/>
    <w:rsid w:val="009958DE"/>
    <w:rsid w:val="009A1A07"/>
    <w:rsid w:val="009A5395"/>
    <w:rsid w:val="009C7EAD"/>
    <w:rsid w:val="009D7BCE"/>
    <w:rsid w:val="009F73A8"/>
    <w:rsid w:val="00A04688"/>
    <w:rsid w:val="00A05652"/>
    <w:rsid w:val="00A12FE3"/>
    <w:rsid w:val="00A14DA9"/>
    <w:rsid w:val="00A20347"/>
    <w:rsid w:val="00A3147F"/>
    <w:rsid w:val="00A35228"/>
    <w:rsid w:val="00A35F82"/>
    <w:rsid w:val="00A41D77"/>
    <w:rsid w:val="00A44BBB"/>
    <w:rsid w:val="00A46E25"/>
    <w:rsid w:val="00A46F21"/>
    <w:rsid w:val="00A47984"/>
    <w:rsid w:val="00A47BCD"/>
    <w:rsid w:val="00A51FEF"/>
    <w:rsid w:val="00A5238A"/>
    <w:rsid w:val="00A52D2C"/>
    <w:rsid w:val="00A57CA6"/>
    <w:rsid w:val="00A80A92"/>
    <w:rsid w:val="00A8419C"/>
    <w:rsid w:val="00A93391"/>
    <w:rsid w:val="00A94460"/>
    <w:rsid w:val="00AA148B"/>
    <w:rsid w:val="00AA26B1"/>
    <w:rsid w:val="00AB1E80"/>
    <w:rsid w:val="00AB2869"/>
    <w:rsid w:val="00AC6DC2"/>
    <w:rsid w:val="00AD05F5"/>
    <w:rsid w:val="00AD7458"/>
    <w:rsid w:val="00AD7FF9"/>
    <w:rsid w:val="00AE3AC7"/>
    <w:rsid w:val="00B0235D"/>
    <w:rsid w:val="00B073EF"/>
    <w:rsid w:val="00B157D2"/>
    <w:rsid w:val="00B168C3"/>
    <w:rsid w:val="00B37284"/>
    <w:rsid w:val="00B417BB"/>
    <w:rsid w:val="00B42D1D"/>
    <w:rsid w:val="00B433DA"/>
    <w:rsid w:val="00B56F4A"/>
    <w:rsid w:val="00B64154"/>
    <w:rsid w:val="00B720F4"/>
    <w:rsid w:val="00B771F8"/>
    <w:rsid w:val="00B8306C"/>
    <w:rsid w:val="00BA03B2"/>
    <w:rsid w:val="00BD2D0B"/>
    <w:rsid w:val="00BD3FAE"/>
    <w:rsid w:val="00BD637A"/>
    <w:rsid w:val="00BD6732"/>
    <w:rsid w:val="00BD7428"/>
    <w:rsid w:val="00BE0599"/>
    <w:rsid w:val="00BE3D0A"/>
    <w:rsid w:val="00BE68B8"/>
    <w:rsid w:val="00BE7CEB"/>
    <w:rsid w:val="00BF2ECA"/>
    <w:rsid w:val="00C07408"/>
    <w:rsid w:val="00C12B87"/>
    <w:rsid w:val="00C21C56"/>
    <w:rsid w:val="00C25A14"/>
    <w:rsid w:val="00C276A4"/>
    <w:rsid w:val="00C41934"/>
    <w:rsid w:val="00C61D1A"/>
    <w:rsid w:val="00C770E3"/>
    <w:rsid w:val="00CA689A"/>
    <w:rsid w:val="00CB0878"/>
    <w:rsid w:val="00CB1D12"/>
    <w:rsid w:val="00CB6F84"/>
    <w:rsid w:val="00CC1ECE"/>
    <w:rsid w:val="00CC6073"/>
    <w:rsid w:val="00CD528A"/>
    <w:rsid w:val="00CE0739"/>
    <w:rsid w:val="00CE2001"/>
    <w:rsid w:val="00CF5DEB"/>
    <w:rsid w:val="00CF73CE"/>
    <w:rsid w:val="00D005E7"/>
    <w:rsid w:val="00D10BD4"/>
    <w:rsid w:val="00D12AFD"/>
    <w:rsid w:val="00D36F91"/>
    <w:rsid w:val="00D379C0"/>
    <w:rsid w:val="00D42881"/>
    <w:rsid w:val="00D42AED"/>
    <w:rsid w:val="00D457A0"/>
    <w:rsid w:val="00D53448"/>
    <w:rsid w:val="00D61424"/>
    <w:rsid w:val="00D73738"/>
    <w:rsid w:val="00D776B2"/>
    <w:rsid w:val="00D80342"/>
    <w:rsid w:val="00D80624"/>
    <w:rsid w:val="00D9002B"/>
    <w:rsid w:val="00D91C86"/>
    <w:rsid w:val="00DA3233"/>
    <w:rsid w:val="00DC19EB"/>
    <w:rsid w:val="00DE6A37"/>
    <w:rsid w:val="00DF09CF"/>
    <w:rsid w:val="00E03BFF"/>
    <w:rsid w:val="00E04232"/>
    <w:rsid w:val="00E05BED"/>
    <w:rsid w:val="00E05C0D"/>
    <w:rsid w:val="00E11D7B"/>
    <w:rsid w:val="00E1465C"/>
    <w:rsid w:val="00E15EC1"/>
    <w:rsid w:val="00E200B6"/>
    <w:rsid w:val="00E208F3"/>
    <w:rsid w:val="00E209E1"/>
    <w:rsid w:val="00E26B04"/>
    <w:rsid w:val="00E275FC"/>
    <w:rsid w:val="00E30509"/>
    <w:rsid w:val="00E32E37"/>
    <w:rsid w:val="00E40539"/>
    <w:rsid w:val="00E442C0"/>
    <w:rsid w:val="00E465DF"/>
    <w:rsid w:val="00E530A4"/>
    <w:rsid w:val="00E56A91"/>
    <w:rsid w:val="00E6083E"/>
    <w:rsid w:val="00E62B75"/>
    <w:rsid w:val="00E64E87"/>
    <w:rsid w:val="00E733CB"/>
    <w:rsid w:val="00E92F44"/>
    <w:rsid w:val="00EA341D"/>
    <w:rsid w:val="00EA6AA6"/>
    <w:rsid w:val="00EB7BA4"/>
    <w:rsid w:val="00EC5639"/>
    <w:rsid w:val="00EC6591"/>
    <w:rsid w:val="00ED66FF"/>
    <w:rsid w:val="00EE3E16"/>
    <w:rsid w:val="00EE48E0"/>
    <w:rsid w:val="00EE4A56"/>
    <w:rsid w:val="00F07AA7"/>
    <w:rsid w:val="00F13194"/>
    <w:rsid w:val="00F243A1"/>
    <w:rsid w:val="00F3577F"/>
    <w:rsid w:val="00F46604"/>
    <w:rsid w:val="00F62C56"/>
    <w:rsid w:val="00F70322"/>
    <w:rsid w:val="00F712DA"/>
    <w:rsid w:val="00F74AF1"/>
    <w:rsid w:val="00F871C3"/>
    <w:rsid w:val="00FB73E9"/>
    <w:rsid w:val="00FC0F52"/>
    <w:rsid w:val="00FC5968"/>
    <w:rsid w:val="00FD2A7D"/>
    <w:rsid w:val="00FD3A95"/>
    <w:rsid w:val="00FD4DEB"/>
    <w:rsid w:val="00FE0927"/>
    <w:rsid w:val="00FE38DA"/>
    <w:rsid w:val="00FE51D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326BD9"/>
    <w:pPr>
      <w:ind w:left="720"/>
      <w:contextualSpacing/>
    </w:pPr>
    <w:rPr>
      <w:rFonts w:asciiTheme="minorHAnsi" w:hAnsiTheme="minorHAnsi"/>
    </w:rPr>
  </w:style>
  <w:style w:type="character" w:customStyle="1" w:styleId="accessibilityonly">
    <w:name w:val="accessibilityonly"/>
    <w:basedOn w:val="DefaultParagraphFont"/>
    <w:rsid w:val="004707D8"/>
  </w:style>
  <w:style w:type="character" w:customStyle="1" w:styleId="Heading1Char">
    <w:name w:val="Heading 1 Char"/>
    <w:basedOn w:val="DefaultParagraphFont"/>
    <w:link w:val="Heading1"/>
    <w:uiPriority w:val="9"/>
    <w:rsid w:val="00D3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alBold">
    <w:name w:val="Special Bold"/>
    <w:basedOn w:val="DefaultParagraphFont"/>
    <w:rsid w:val="001666F9"/>
    <w:rPr>
      <w:b/>
      <w:spacing w:val="0"/>
    </w:rPr>
  </w:style>
  <w:style w:type="paragraph" w:customStyle="1" w:styleId="SuperTitle">
    <w:name w:val="SuperTitle"/>
    <w:basedOn w:val="Title"/>
    <w:rsid w:val="004A6087"/>
    <w:pPr>
      <w:keepNext/>
      <w:framePr w:wrap="auto" w:hAnchor="text" w:y="6049"/>
      <w:spacing w:before="504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40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6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0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BSBSUS20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AHCNAR30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ICTICT2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CPCCWHS10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ICTICT21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BSBCMM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1EE0EFDA6C4E8E5A29AC7A75D1BA" ma:contentTypeVersion="10" ma:contentTypeDescription="Create a new document." ma:contentTypeScope="" ma:versionID="9ee312c0cd979c4f9665e5043abe7b12">
  <xsd:schema xmlns:xsd="http://www.w3.org/2001/XMLSchema" xmlns:xs="http://www.w3.org/2001/XMLSchema" xmlns:p="http://schemas.microsoft.com/office/2006/metadata/properties" xmlns:ns2="3b47dd2c-b1e6-49a7-98d3-41e8c0407c0d" xmlns:ns3="4ee77577-fb44-4688-ab4c-ede6794f7afc" targetNamespace="http://schemas.microsoft.com/office/2006/metadata/properties" ma:root="true" ma:fieldsID="8d5aaa50d33c1e6b81c3abfc8f645818" ns2:_="" ns3:_="">
    <xsd:import namespace="3b47dd2c-b1e6-49a7-98d3-41e8c0407c0d"/>
    <xsd:import namespace="4ee77577-fb44-4688-ab4c-ede6794f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d2c-b1e6-49a7-98d3-41e8c04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7577-fb44-4688-ab4c-ede6794f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2D053-9095-4AF6-BDD9-EF074BA6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0B2A4-5F1A-EA45-9AB5-6CEFDF274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6192B0-6180-462D-B1F1-D2DCDCC7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dd2c-b1e6-49a7-98d3-41e8c0407c0d"/>
    <ds:schemaRef ds:uri="4ee77577-fb44-4688-ab4c-ede6794f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3FD11-D261-404E-B4AE-DC7ABB706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2</cp:revision>
  <cp:lastPrinted>2020-06-20T23:46:00Z</cp:lastPrinted>
  <dcterms:created xsi:type="dcterms:W3CDTF">2020-07-23T02:16:00Z</dcterms:created>
  <dcterms:modified xsi:type="dcterms:W3CDTF">2020-07-23T02:16:00Z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0x01010065211EE0EFDA6C4E8E5A29AC7A75D1BA</vt:lpwstr>
  </property>
</Properties>
</file>