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B40D" w14:textId="2D7039C9" w:rsidR="0040619C" w:rsidRPr="00C25701" w:rsidRDefault="00D4772F" w:rsidP="007108E1">
      <w:pPr>
        <w:rPr>
          <w:b/>
          <w:bCs/>
        </w:rPr>
      </w:pPr>
      <w:r w:rsidRPr="00C25701">
        <w:rPr>
          <w:b/>
          <w:bCs/>
        </w:rPr>
        <w:t>CP</w:t>
      </w:r>
      <w:r w:rsidR="006F6619" w:rsidRPr="00C25701">
        <w:rPr>
          <w:b/>
          <w:bCs/>
        </w:rPr>
        <w:t>C</w:t>
      </w:r>
      <w:r w:rsidRPr="00C25701">
        <w:rPr>
          <w:b/>
          <w:bCs/>
        </w:rPr>
        <w:t>SS000</w:t>
      </w:r>
      <w:r w:rsidR="006F6619" w:rsidRPr="00C25701">
        <w:rPr>
          <w:b/>
          <w:bCs/>
        </w:rPr>
        <w:t>0</w:t>
      </w:r>
      <w:r w:rsidRPr="00C25701">
        <w:rPr>
          <w:b/>
          <w:bCs/>
        </w:rPr>
        <w:t xml:space="preserve">4 </w:t>
      </w:r>
      <w:r w:rsidR="006F6619" w:rsidRPr="00C25701">
        <w:rPr>
          <w:b/>
          <w:bCs/>
        </w:rPr>
        <w:t xml:space="preserve">Provide building surveying services for residential buildings up to </w:t>
      </w:r>
      <w:r w:rsidR="007C3F85">
        <w:rPr>
          <w:b/>
          <w:bCs/>
        </w:rPr>
        <w:t>three</w:t>
      </w:r>
      <w:r w:rsidR="006F6619" w:rsidRPr="00C25701">
        <w:rPr>
          <w:b/>
          <w:bCs/>
        </w:rPr>
        <w:t xml:space="preserve"> storeys</w:t>
      </w:r>
    </w:p>
    <w:p w14:paraId="27C7B0B0" w14:textId="634347E7" w:rsidR="00CF12EB" w:rsidRPr="00C25701" w:rsidRDefault="00074BDA" w:rsidP="0040619C">
      <w:pPr>
        <w:rPr>
          <w:b/>
        </w:rPr>
      </w:pPr>
      <w:r w:rsidRPr="00C25701">
        <w:rPr>
          <w:b/>
        </w:rPr>
        <w:t xml:space="preserve">Modification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40619C" w:rsidRPr="00C25701" w14:paraId="48568134" w14:textId="77777777" w:rsidTr="00CF12EB">
        <w:tc>
          <w:tcPr>
            <w:tcW w:w="1555" w:type="dxa"/>
          </w:tcPr>
          <w:p w14:paraId="41317E36" w14:textId="234E7518" w:rsidR="0040619C" w:rsidRPr="00C25701" w:rsidRDefault="0040619C" w:rsidP="00E377C1">
            <w:pPr>
              <w:rPr>
                <w:b/>
                <w:bCs/>
              </w:rPr>
            </w:pPr>
            <w:r w:rsidRPr="00C25701">
              <w:rPr>
                <w:b/>
                <w:bCs/>
              </w:rPr>
              <w:t xml:space="preserve">Release </w:t>
            </w:r>
          </w:p>
        </w:tc>
        <w:tc>
          <w:tcPr>
            <w:tcW w:w="7455" w:type="dxa"/>
          </w:tcPr>
          <w:p w14:paraId="22C3B07D" w14:textId="08CFB48F" w:rsidR="0040619C" w:rsidRPr="00C25701" w:rsidRDefault="0040619C" w:rsidP="00E377C1">
            <w:pPr>
              <w:rPr>
                <w:b/>
                <w:bCs/>
              </w:rPr>
            </w:pPr>
            <w:r w:rsidRPr="00C25701">
              <w:rPr>
                <w:b/>
                <w:bCs/>
              </w:rPr>
              <w:t>Comments</w:t>
            </w:r>
          </w:p>
        </w:tc>
      </w:tr>
      <w:tr w:rsidR="001222BE" w:rsidRPr="00C25701" w14:paraId="1759D64A" w14:textId="77777777" w:rsidTr="001222BE">
        <w:tc>
          <w:tcPr>
            <w:tcW w:w="1555" w:type="dxa"/>
          </w:tcPr>
          <w:p w14:paraId="54E14139" w14:textId="2B96CF09" w:rsidR="001222BE" w:rsidRPr="00C25701" w:rsidRDefault="001222BE" w:rsidP="005474CA">
            <w:r w:rsidRPr="00C25701">
              <w:t xml:space="preserve">Release </w:t>
            </w:r>
            <w:r w:rsidR="00107DC3">
              <w:t>1</w:t>
            </w:r>
          </w:p>
        </w:tc>
        <w:tc>
          <w:tcPr>
            <w:tcW w:w="7455" w:type="dxa"/>
          </w:tcPr>
          <w:p w14:paraId="60900BF6" w14:textId="6DC6D725" w:rsidR="001222BE" w:rsidRPr="00C25701" w:rsidRDefault="001222BE" w:rsidP="005474CA">
            <w:r w:rsidRPr="00C25701">
              <w:t xml:space="preserve">This skill set is part of CPC Construction, Plumbing and Services Training Package Release </w:t>
            </w:r>
            <w:r w:rsidR="00107DC3">
              <w:t>8</w:t>
            </w:r>
            <w:r w:rsidRPr="00C25701">
              <w:t xml:space="preserve">.0 and has been updated to reflect current industry requirements for the building surveying scope to incorporate residential buildings up to </w:t>
            </w:r>
            <w:r w:rsidR="007C3F85">
              <w:t>three</w:t>
            </w:r>
            <w:r w:rsidRPr="00C25701">
              <w:t xml:space="preserve"> storeys and a maximum of </w:t>
            </w:r>
            <w:r w:rsidR="007C3F85">
              <w:t>2,0</w:t>
            </w:r>
            <w:r w:rsidRPr="00C25701">
              <w:t>00 square metres.</w:t>
            </w:r>
          </w:p>
          <w:p w14:paraId="1127B78F" w14:textId="77777777" w:rsidR="001222BE" w:rsidRPr="00C25701" w:rsidRDefault="001222BE" w:rsidP="005474CA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ascii="Calibri" w:hAnsi="Calibri" w:cs="Calibri"/>
                <w:color w:val="000000" w:themeColor="text1"/>
              </w:rPr>
              <w:t>New units included in the skill set:</w:t>
            </w:r>
          </w:p>
          <w:p w14:paraId="3BB99E99" w14:textId="75312B12" w:rsidR="001222BE" w:rsidRPr="00C25701" w:rsidRDefault="001222BE" w:rsidP="005474C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ascii="Calibri" w:hAnsi="Calibri" w:cs="Calibri"/>
                <w:color w:val="000000" w:themeColor="text1"/>
              </w:rPr>
              <w:t xml:space="preserve">CPCCBS6103 </w:t>
            </w:r>
            <w:r w:rsidR="00E42383" w:rsidRPr="00C25701">
              <w:rPr>
                <w:rFonts w:ascii="Calibri" w:hAnsi="Calibri" w:cs="Calibri"/>
                <w:color w:val="000000" w:themeColor="text1"/>
              </w:rPr>
              <w:t>Identify and a</w:t>
            </w:r>
            <w:r w:rsidRPr="00C25701">
              <w:rPr>
                <w:rFonts w:ascii="Calibri" w:hAnsi="Calibri" w:cs="Calibri"/>
                <w:color w:val="000000" w:themeColor="text1"/>
              </w:rPr>
              <w:t>pply legal and ethical requirements to building surveying functions</w:t>
            </w:r>
          </w:p>
          <w:p w14:paraId="5B062F85" w14:textId="102FCD1B" w:rsidR="001222BE" w:rsidRPr="00C25701" w:rsidRDefault="001222BE" w:rsidP="005474C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ascii="Calibri" w:hAnsi="Calibri" w:cs="Calibri"/>
                <w:color w:val="000000" w:themeColor="text1"/>
              </w:rPr>
              <w:t>CPCCBS611</w:t>
            </w:r>
            <w:r w:rsidR="00107DC3">
              <w:rPr>
                <w:rFonts w:ascii="Calibri" w:hAnsi="Calibri" w:cs="Calibri"/>
                <w:color w:val="000000" w:themeColor="text1"/>
              </w:rPr>
              <w:t>8</w:t>
            </w:r>
            <w:r w:rsidRPr="00C25701">
              <w:rPr>
                <w:rFonts w:ascii="Calibri" w:hAnsi="Calibri" w:cs="Calibri"/>
                <w:color w:val="000000" w:themeColor="text1"/>
              </w:rPr>
              <w:t xml:space="preserve"> Assess and advise on performance solutions for </w:t>
            </w:r>
            <w:r w:rsidR="00E42383" w:rsidRPr="00C25701">
              <w:rPr>
                <w:rFonts w:ascii="Calibri" w:hAnsi="Calibri" w:cs="Calibri"/>
                <w:color w:val="000000" w:themeColor="text1"/>
              </w:rPr>
              <w:t xml:space="preserve">Class 1 and 10 </w:t>
            </w:r>
            <w:r w:rsidRPr="00C25701">
              <w:rPr>
                <w:rFonts w:ascii="Calibri" w:hAnsi="Calibri" w:cs="Calibri"/>
                <w:color w:val="000000" w:themeColor="text1"/>
              </w:rPr>
              <w:t xml:space="preserve">buildings to </w:t>
            </w:r>
            <w:r w:rsidR="007C3F85">
              <w:rPr>
                <w:rFonts w:ascii="Calibri" w:hAnsi="Calibri" w:cs="Calibri"/>
                <w:color w:val="000000" w:themeColor="text1"/>
              </w:rPr>
              <w:t xml:space="preserve">three </w:t>
            </w:r>
            <w:r w:rsidRPr="00C25701">
              <w:rPr>
                <w:rFonts w:ascii="Calibri" w:hAnsi="Calibri" w:cs="Calibri"/>
                <w:color w:val="000000" w:themeColor="text1"/>
              </w:rPr>
              <w:t>storeys.</w:t>
            </w:r>
          </w:p>
        </w:tc>
      </w:tr>
      <w:tr w:rsidR="0040619C" w:rsidRPr="00C25701" w14:paraId="799EEAE6" w14:textId="77777777" w:rsidTr="00CF12EB">
        <w:tc>
          <w:tcPr>
            <w:tcW w:w="1555" w:type="dxa"/>
            <w:vAlign w:val="center"/>
          </w:tcPr>
          <w:p w14:paraId="39A780E8" w14:textId="77777777" w:rsidR="0040619C" w:rsidRPr="00C25701" w:rsidRDefault="0040619C" w:rsidP="00E377C1">
            <w:r w:rsidRPr="00C25701">
              <w:t>Release 1</w:t>
            </w:r>
          </w:p>
        </w:tc>
        <w:tc>
          <w:tcPr>
            <w:tcW w:w="7455" w:type="dxa"/>
          </w:tcPr>
          <w:p w14:paraId="6A091607" w14:textId="1F14B3FC" w:rsidR="0040619C" w:rsidRPr="00C25701" w:rsidRDefault="0040619C" w:rsidP="00E377C1">
            <w:r w:rsidRPr="00C25701">
              <w:t xml:space="preserve">This </w:t>
            </w:r>
            <w:r w:rsidR="00C54B12" w:rsidRPr="00C25701">
              <w:t xml:space="preserve">Skill Set </w:t>
            </w:r>
            <w:r w:rsidRPr="00C25701">
              <w:t>first released with the CP</w:t>
            </w:r>
            <w:r w:rsidR="006F6619" w:rsidRPr="00C25701">
              <w:t>C</w:t>
            </w:r>
            <w:r w:rsidRPr="00C25701">
              <w:t xml:space="preserve"> </w:t>
            </w:r>
            <w:r w:rsidR="006F6619" w:rsidRPr="00C25701">
              <w:t xml:space="preserve">Construction, Plumbing and Services </w:t>
            </w:r>
            <w:r w:rsidRPr="00C25701">
              <w:t xml:space="preserve">Training Package </w:t>
            </w:r>
            <w:r w:rsidR="006F6619" w:rsidRPr="00C25701">
              <w:t>Version 1</w:t>
            </w:r>
            <w:r w:rsidRPr="00C25701">
              <w:t>.</w:t>
            </w:r>
          </w:p>
        </w:tc>
      </w:tr>
    </w:tbl>
    <w:p w14:paraId="1A1560DB" w14:textId="77777777" w:rsidR="0040619C" w:rsidRPr="00C25701" w:rsidRDefault="0040619C" w:rsidP="0040619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628"/>
        <w:gridCol w:w="1510"/>
        <w:gridCol w:w="5863"/>
      </w:tblGrid>
      <w:tr w:rsidR="009C34A5" w:rsidRPr="00C25701" w14:paraId="6F8CEB74" w14:textId="77777777" w:rsidTr="00CF12EB">
        <w:tc>
          <w:tcPr>
            <w:tcW w:w="904" w:type="pct"/>
            <w:vAlign w:val="center"/>
          </w:tcPr>
          <w:p w14:paraId="30237194" w14:textId="7F8DDCE4" w:rsidR="0040619C" w:rsidRPr="00C25701" w:rsidRDefault="0040619C" w:rsidP="009C34A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25701">
              <w:rPr>
                <w:rFonts w:ascii="Calibri" w:hAnsi="Calibri" w:cs="Calibri"/>
                <w:b/>
                <w:bCs/>
                <w:color w:val="000000" w:themeColor="text1"/>
              </w:rPr>
              <w:t xml:space="preserve">Description </w:t>
            </w:r>
          </w:p>
        </w:tc>
        <w:tc>
          <w:tcPr>
            <w:tcW w:w="4096" w:type="pct"/>
            <w:gridSpan w:val="2"/>
          </w:tcPr>
          <w:p w14:paraId="5AC9173A" w14:textId="7B38BEED" w:rsidR="0040619C" w:rsidRPr="00C25701" w:rsidRDefault="00A71B25" w:rsidP="00A71B25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This skill set covers the competencies required by</w:t>
            </w:r>
            <w:r w:rsidR="00014865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r w:rsidR="00AD6188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>restricted</w:t>
            </w:r>
            <w:r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building surveyors or certifiers </w:t>
            </w:r>
            <w:r w:rsidR="00AD6188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who implement statutory building surveying requirements or provide advisory building surveying services limited to Class 1 and 10 buildings as defined in the National Construction Code (NCC), up to </w:t>
            </w:r>
            <w:r w:rsidR="007C3F85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three</w:t>
            </w:r>
            <w:r w:rsidR="00AD6188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storeys and not exceeding </w:t>
            </w:r>
            <w:r w:rsidR="007C3F85">
              <w:rPr>
                <w:rFonts w:ascii="Calibri" w:hAnsi="Calibri" w:cs="Calibri"/>
                <w:color w:val="000000" w:themeColor="text1"/>
                <w:shd w:val="clear" w:color="auto" w:fill="FFFFFF"/>
              </w:rPr>
              <w:t>2,0</w:t>
            </w:r>
            <w:r w:rsidR="00AD6188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>00 square metres in floor area.</w:t>
            </w:r>
          </w:p>
        </w:tc>
      </w:tr>
      <w:tr w:rsidR="009C34A5" w:rsidRPr="00C25701" w14:paraId="20C6BA19" w14:textId="77777777" w:rsidTr="00CF12EB">
        <w:tc>
          <w:tcPr>
            <w:tcW w:w="904" w:type="pct"/>
            <w:vAlign w:val="center"/>
          </w:tcPr>
          <w:p w14:paraId="2B80D3B7" w14:textId="77777777" w:rsidR="00FD299E" w:rsidRPr="00C25701" w:rsidRDefault="00FD299E" w:rsidP="009C34A5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25701">
              <w:rPr>
                <w:rFonts w:ascii="Calibri" w:hAnsi="Calibri" w:cs="Calibri"/>
                <w:b/>
                <w:bCs/>
                <w:color w:val="000000" w:themeColor="text1"/>
              </w:rPr>
              <w:t>Target Group</w:t>
            </w:r>
          </w:p>
        </w:tc>
        <w:tc>
          <w:tcPr>
            <w:tcW w:w="4096" w:type="pct"/>
            <w:gridSpan w:val="2"/>
          </w:tcPr>
          <w:p w14:paraId="0846D785" w14:textId="2E528D34" w:rsidR="00FD299E" w:rsidRPr="00C25701" w:rsidRDefault="009C34A5" w:rsidP="009C34A5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This skill set is for people </w:t>
            </w:r>
            <w:r w:rsidR="00E56507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currently working as, or intending to work as, </w:t>
            </w:r>
            <w:proofErr w:type="gramStart"/>
            <w:r w:rsidR="00E56507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private</w:t>
            </w:r>
            <w:proofErr w:type="gramEnd"/>
            <w:r w:rsidR="00E56507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or municipal building surveyors specifically </w:t>
            </w:r>
            <w:r w:rsidR="000814B4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>limited to</w:t>
            </w:r>
            <w:r w:rsidR="00E56507"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Class 1 and 10 buildings as defined in the NCC.</w:t>
            </w:r>
          </w:p>
        </w:tc>
      </w:tr>
      <w:tr w:rsidR="004D5C83" w:rsidRPr="00C25701" w14:paraId="63B4C3DD" w14:textId="77777777" w:rsidTr="00B73031">
        <w:tc>
          <w:tcPr>
            <w:tcW w:w="904" w:type="pct"/>
            <w:vMerge w:val="restart"/>
            <w:vAlign w:val="center"/>
          </w:tcPr>
          <w:p w14:paraId="30337B7C" w14:textId="4C2D6066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25701">
              <w:rPr>
                <w:rFonts w:ascii="Calibri" w:hAnsi="Calibri" w:cs="Calibri"/>
                <w:b/>
                <w:bCs/>
                <w:color w:val="000000" w:themeColor="text1"/>
              </w:rPr>
              <w:t>Units</w:t>
            </w:r>
          </w:p>
        </w:tc>
        <w:tc>
          <w:tcPr>
            <w:tcW w:w="839" w:type="pct"/>
          </w:tcPr>
          <w:p w14:paraId="421513C5" w14:textId="608DF4D1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CPCCBS6101</w:t>
            </w:r>
          </w:p>
        </w:tc>
        <w:tc>
          <w:tcPr>
            <w:tcW w:w="3257" w:type="pct"/>
          </w:tcPr>
          <w:p w14:paraId="3DA45099" w14:textId="30451E94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 xml:space="preserve">Research and evaluate construction methods and materials for </w:t>
            </w:r>
            <w:r w:rsidR="00E42383" w:rsidRPr="00C25701">
              <w:rPr>
                <w:rFonts w:cs="Calibri"/>
                <w:lang w:eastAsia="en-AU"/>
              </w:rPr>
              <w:t>Class 1 and 10</w:t>
            </w:r>
            <w:r w:rsidRPr="00C25701">
              <w:rPr>
                <w:rFonts w:cs="Calibri"/>
                <w:lang w:eastAsia="en-AU"/>
              </w:rPr>
              <w:t xml:space="preserve"> buildings to </w:t>
            </w:r>
            <w:r w:rsidR="007C3F85">
              <w:rPr>
                <w:rFonts w:cs="Calibri"/>
                <w:lang w:eastAsia="en-AU"/>
              </w:rPr>
              <w:t>three</w:t>
            </w:r>
            <w:r w:rsidRPr="00C25701">
              <w:rPr>
                <w:rFonts w:cs="Calibri"/>
                <w:lang w:eastAsia="en-AU"/>
              </w:rPr>
              <w:t xml:space="preserve"> storeys</w:t>
            </w:r>
          </w:p>
        </w:tc>
      </w:tr>
      <w:tr w:rsidR="004D5C83" w:rsidRPr="00C25701" w14:paraId="5AF22A32" w14:textId="77777777" w:rsidTr="00B73031">
        <w:tc>
          <w:tcPr>
            <w:tcW w:w="904" w:type="pct"/>
            <w:vMerge/>
            <w:vAlign w:val="center"/>
          </w:tcPr>
          <w:p w14:paraId="4C14FC51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39" w:type="pct"/>
          </w:tcPr>
          <w:p w14:paraId="5C2081C5" w14:textId="6DD4D642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CPCCBS6103</w:t>
            </w:r>
          </w:p>
        </w:tc>
        <w:tc>
          <w:tcPr>
            <w:tcW w:w="3257" w:type="pct"/>
          </w:tcPr>
          <w:p w14:paraId="661F544E" w14:textId="6BFE39E8" w:rsidR="004D5C83" w:rsidRPr="00C25701" w:rsidRDefault="00E42383" w:rsidP="004D5C8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Identify and a</w:t>
            </w:r>
            <w:r w:rsidR="004D5C83" w:rsidRPr="00C25701">
              <w:rPr>
                <w:rFonts w:cs="Calibri"/>
                <w:lang w:eastAsia="en-AU"/>
              </w:rPr>
              <w:t>pply legal and ethical requirements to building surveying functions</w:t>
            </w:r>
          </w:p>
        </w:tc>
      </w:tr>
      <w:tr w:rsidR="004D5C83" w:rsidRPr="00C25701" w14:paraId="04554639" w14:textId="77777777" w:rsidTr="00B73031">
        <w:tc>
          <w:tcPr>
            <w:tcW w:w="904" w:type="pct"/>
            <w:vMerge/>
            <w:vAlign w:val="center"/>
          </w:tcPr>
          <w:p w14:paraId="541B5DCF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39" w:type="pct"/>
          </w:tcPr>
          <w:p w14:paraId="38EABCF2" w14:textId="0324ECED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CPCCBS6104</w:t>
            </w:r>
          </w:p>
        </w:tc>
        <w:tc>
          <w:tcPr>
            <w:tcW w:w="3257" w:type="pct"/>
          </w:tcPr>
          <w:p w14:paraId="205F553A" w14:textId="37F62DAE" w:rsidR="004D5C83" w:rsidRPr="00C25701" w:rsidRDefault="004D5C83" w:rsidP="004D5C8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 xml:space="preserve">Assess and advise on compliance of design documentation for </w:t>
            </w:r>
            <w:r w:rsidR="00E42383" w:rsidRPr="00C25701">
              <w:rPr>
                <w:rFonts w:cs="Calibri"/>
                <w:lang w:eastAsia="en-AU"/>
              </w:rPr>
              <w:t xml:space="preserve">Class 1 and 10 </w:t>
            </w:r>
            <w:r w:rsidRPr="00C25701">
              <w:rPr>
                <w:rFonts w:cs="Calibri"/>
                <w:lang w:eastAsia="en-AU"/>
              </w:rPr>
              <w:t xml:space="preserve">buildings to </w:t>
            </w:r>
            <w:r w:rsidR="007C3F85">
              <w:rPr>
                <w:rFonts w:cs="Calibri"/>
                <w:lang w:eastAsia="en-AU"/>
              </w:rPr>
              <w:t>three</w:t>
            </w:r>
            <w:r w:rsidRPr="00C25701">
              <w:rPr>
                <w:rFonts w:cs="Calibri"/>
                <w:lang w:eastAsia="en-AU"/>
              </w:rPr>
              <w:t xml:space="preserve"> storeys</w:t>
            </w:r>
          </w:p>
        </w:tc>
      </w:tr>
      <w:tr w:rsidR="004D5C83" w:rsidRPr="00C25701" w14:paraId="5720C1F0" w14:textId="77777777" w:rsidTr="00B73031">
        <w:tc>
          <w:tcPr>
            <w:tcW w:w="904" w:type="pct"/>
            <w:vMerge/>
            <w:vAlign w:val="center"/>
          </w:tcPr>
          <w:p w14:paraId="67A948AE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39" w:type="pct"/>
          </w:tcPr>
          <w:p w14:paraId="64562FDF" w14:textId="58546632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CPCCBS610</w:t>
            </w:r>
            <w:r w:rsidR="00795F00" w:rsidRPr="00C25701">
              <w:rPr>
                <w:rFonts w:cs="Calibri"/>
                <w:lang w:eastAsia="en-AU"/>
              </w:rPr>
              <w:t>7</w:t>
            </w:r>
          </w:p>
        </w:tc>
        <w:tc>
          <w:tcPr>
            <w:tcW w:w="3257" w:type="pct"/>
          </w:tcPr>
          <w:p w14:paraId="59777718" w14:textId="11376637" w:rsidR="004D5C83" w:rsidRPr="00C25701" w:rsidRDefault="00CC2B56" w:rsidP="004D5C8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Prepare</w:t>
            </w:r>
            <w:r w:rsidR="004D5C83" w:rsidRPr="00C25701">
              <w:rPr>
                <w:rFonts w:cs="Calibri"/>
                <w:lang w:eastAsia="en-AU"/>
              </w:rPr>
              <w:t xml:space="preserve"> planning </w:t>
            </w:r>
            <w:r w:rsidR="00430571">
              <w:rPr>
                <w:rFonts w:cs="Calibri"/>
                <w:lang w:eastAsia="en-AU"/>
              </w:rPr>
              <w:t xml:space="preserve">and development </w:t>
            </w:r>
            <w:r w:rsidR="004D5C83" w:rsidRPr="00C25701">
              <w:rPr>
                <w:rFonts w:cs="Calibri"/>
                <w:lang w:eastAsia="en-AU"/>
              </w:rPr>
              <w:t xml:space="preserve">applications for buildings to </w:t>
            </w:r>
            <w:r w:rsidR="007C3F85">
              <w:rPr>
                <w:rFonts w:cs="Calibri"/>
                <w:lang w:eastAsia="en-AU"/>
              </w:rPr>
              <w:t>three</w:t>
            </w:r>
            <w:r w:rsidR="004D5C83" w:rsidRPr="00C25701">
              <w:rPr>
                <w:rFonts w:cs="Calibri"/>
                <w:lang w:eastAsia="en-AU"/>
              </w:rPr>
              <w:t xml:space="preserve"> storeys</w:t>
            </w:r>
          </w:p>
        </w:tc>
      </w:tr>
      <w:tr w:rsidR="004D5C83" w:rsidRPr="00C25701" w14:paraId="2B5FC6FE" w14:textId="77777777" w:rsidTr="00B73031">
        <w:tc>
          <w:tcPr>
            <w:tcW w:w="904" w:type="pct"/>
            <w:vMerge/>
            <w:vAlign w:val="center"/>
          </w:tcPr>
          <w:p w14:paraId="0D4A4D1E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39" w:type="pct"/>
          </w:tcPr>
          <w:p w14:paraId="767D2201" w14:textId="7AD2DEAB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CPCCBS610</w:t>
            </w:r>
            <w:r w:rsidR="001222BE" w:rsidRPr="00C25701">
              <w:rPr>
                <w:rFonts w:cs="Calibri"/>
                <w:lang w:eastAsia="en-AU"/>
              </w:rPr>
              <w:t>8</w:t>
            </w:r>
          </w:p>
        </w:tc>
        <w:tc>
          <w:tcPr>
            <w:tcW w:w="3257" w:type="pct"/>
          </w:tcPr>
          <w:p w14:paraId="398E83B7" w14:textId="48BFCB56" w:rsidR="004D5C83" w:rsidRPr="00C25701" w:rsidRDefault="004D5C83" w:rsidP="004D5C8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 xml:space="preserve">Process building applications for </w:t>
            </w:r>
            <w:r w:rsidR="00E42383" w:rsidRPr="00C25701">
              <w:rPr>
                <w:rFonts w:cs="Calibri"/>
                <w:lang w:eastAsia="en-AU"/>
              </w:rPr>
              <w:t xml:space="preserve">Class 1 and 10 </w:t>
            </w:r>
            <w:r w:rsidRPr="00C25701">
              <w:rPr>
                <w:rFonts w:cs="Calibri"/>
                <w:lang w:eastAsia="en-AU"/>
              </w:rPr>
              <w:t xml:space="preserve">buildings to </w:t>
            </w:r>
            <w:r w:rsidR="007C3F85">
              <w:rPr>
                <w:rFonts w:cs="Calibri"/>
                <w:lang w:eastAsia="en-AU"/>
              </w:rPr>
              <w:t>three</w:t>
            </w:r>
            <w:r w:rsidRPr="00C25701">
              <w:rPr>
                <w:rFonts w:cs="Calibri"/>
                <w:lang w:eastAsia="en-AU"/>
              </w:rPr>
              <w:t xml:space="preserve"> storeys</w:t>
            </w:r>
          </w:p>
        </w:tc>
      </w:tr>
      <w:tr w:rsidR="004D5C83" w:rsidRPr="00C25701" w14:paraId="06037EEC" w14:textId="77777777" w:rsidTr="00B73031">
        <w:tc>
          <w:tcPr>
            <w:tcW w:w="904" w:type="pct"/>
            <w:vMerge/>
            <w:vAlign w:val="center"/>
          </w:tcPr>
          <w:p w14:paraId="7FF38C7E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39" w:type="pct"/>
          </w:tcPr>
          <w:p w14:paraId="3D61AA45" w14:textId="7F128F78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</w:t>
            </w:r>
            <w:r w:rsidR="001222BE" w:rsidRPr="00C25701">
              <w:rPr>
                <w:rFonts w:cs="Calibri"/>
                <w:lang w:eastAsia="en-AU"/>
              </w:rPr>
              <w:t>10</w:t>
            </w:r>
          </w:p>
        </w:tc>
        <w:tc>
          <w:tcPr>
            <w:tcW w:w="3257" w:type="pct"/>
          </w:tcPr>
          <w:p w14:paraId="66CDF381" w14:textId="73703721" w:rsidR="004D5C83" w:rsidRPr="00C25701" w:rsidRDefault="004D5C83" w:rsidP="004D5C8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 xml:space="preserve">Conduct and report on building surveying audits of </w:t>
            </w:r>
            <w:r w:rsidR="00E42383" w:rsidRPr="00C25701">
              <w:rPr>
                <w:rFonts w:cs="Calibri"/>
                <w:lang w:eastAsia="en-AU"/>
              </w:rPr>
              <w:t xml:space="preserve">Class 1 and 10 </w:t>
            </w:r>
            <w:r w:rsidRPr="00C25701">
              <w:rPr>
                <w:rFonts w:cs="Calibri"/>
                <w:lang w:eastAsia="en-AU"/>
              </w:rPr>
              <w:t xml:space="preserve">buildings to </w:t>
            </w:r>
            <w:r w:rsidR="007C3F85">
              <w:rPr>
                <w:rFonts w:cs="Calibri"/>
                <w:lang w:eastAsia="en-AU"/>
              </w:rPr>
              <w:t>three</w:t>
            </w:r>
            <w:r w:rsidRPr="00C25701">
              <w:rPr>
                <w:rFonts w:cs="Calibri"/>
                <w:lang w:eastAsia="en-AU"/>
              </w:rPr>
              <w:t xml:space="preserve"> storeys</w:t>
            </w:r>
          </w:p>
        </w:tc>
      </w:tr>
      <w:tr w:rsidR="004D5C83" w:rsidRPr="00C25701" w14:paraId="57624692" w14:textId="77777777" w:rsidTr="00B73031">
        <w:tc>
          <w:tcPr>
            <w:tcW w:w="904" w:type="pct"/>
            <w:vMerge/>
            <w:vAlign w:val="center"/>
          </w:tcPr>
          <w:p w14:paraId="75ABCFC5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39" w:type="pct"/>
          </w:tcPr>
          <w:p w14:paraId="5B4EAC54" w14:textId="3A40E982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CPCCBS611</w:t>
            </w:r>
            <w:r w:rsidR="001222BE" w:rsidRPr="00C25701">
              <w:rPr>
                <w:rFonts w:cs="Calibri"/>
                <w:lang w:eastAsia="en-AU"/>
              </w:rPr>
              <w:t>2</w:t>
            </w:r>
          </w:p>
        </w:tc>
        <w:tc>
          <w:tcPr>
            <w:tcW w:w="3257" w:type="pct"/>
          </w:tcPr>
          <w:p w14:paraId="743604C7" w14:textId="2EFA16C7" w:rsidR="004D5C83" w:rsidRPr="00C25701" w:rsidRDefault="004D5C83" w:rsidP="004D5C8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25701">
              <w:t xml:space="preserve">Conduct and report on initial construction inspections of </w:t>
            </w:r>
            <w:r w:rsidR="00813808" w:rsidRPr="00C25701">
              <w:rPr>
                <w:rFonts w:cs="Calibri"/>
                <w:lang w:eastAsia="en-AU"/>
              </w:rPr>
              <w:t xml:space="preserve">Class 1 and 10 </w:t>
            </w:r>
            <w:r w:rsidRPr="00C25701">
              <w:t xml:space="preserve">buildings to </w:t>
            </w:r>
            <w:r w:rsidR="007C3F85">
              <w:t>three</w:t>
            </w:r>
            <w:r w:rsidRPr="00C25701">
              <w:t xml:space="preserve"> storeys</w:t>
            </w:r>
          </w:p>
        </w:tc>
      </w:tr>
      <w:tr w:rsidR="004D5C83" w:rsidRPr="00C25701" w14:paraId="510C923C" w14:textId="77777777" w:rsidTr="00787D52">
        <w:tc>
          <w:tcPr>
            <w:tcW w:w="904" w:type="pct"/>
            <w:vMerge/>
            <w:vAlign w:val="center"/>
          </w:tcPr>
          <w:p w14:paraId="34245512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39" w:type="pct"/>
          </w:tcPr>
          <w:p w14:paraId="70E05819" w14:textId="40BBE31E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CPCCBS611</w:t>
            </w:r>
            <w:r w:rsidR="001222BE" w:rsidRPr="00C25701">
              <w:rPr>
                <w:rFonts w:cs="Calibri"/>
                <w:lang w:eastAsia="en-AU"/>
              </w:rPr>
              <w:t>4</w:t>
            </w:r>
          </w:p>
        </w:tc>
        <w:tc>
          <w:tcPr>
            <w:tcW w:w="3257" w:type="pct"/>
          </w:tcPr>
          <w:p w14:paraId="69A098A3" w14:textId="57BFC32D" w:rsidR="004D5C83" w:rsidRPr="00C25701" w:rsidRDefault="004D5C83" w:rsidP="004D5C8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C25701">
              <w:t xml:space="preserve">Conduct and report on advanced and final inspections of </w:t>
            </w:r>
            <w:r w:rsidR="00813808" w:rsidRPr="00C25701">
              <w:rPr>
                <w:rFonts w:cs="Calibri"/>
                <w:lang w:eastAsia="en-AU"/>
              </w:rPr>
              <w:t xml:space="preserve">Class 1 and 10 </w:t>
            </w:r>
            <w:r w:rsidRPr="00C25701">
              <w:t xml:space="preserve">buildings to </w:t>
            </w:r>
            <w:r w:rsidR="007C3F85">
              <w:t>three</w:t>
            </w:r>
            <w:r w:rsidRPr="00C25701">
              <w:t xml:space="preserve"> storeys</w:t>
            </w:r>
          </w:p>
        </w:tc>
      </w:tr>
      <w:tr w:rsidR="004D5C83" w:rsidRPr="00C25701" w14:paraId="7783F890" w14:textId="77777777" w:rsidTr="00C975E7">
        <w:trPr>
          <w:trHeight w:val="575"/>
        </w:trPr>
        <w:tc>
          <w:tcPr>
            <w:tcW w:w="904" w:type="pct"/>
            <w:vMerge/>
            <w:vAlign w:val="center"/>
          </w:tcPr>
          <w:p w14:paraId="22F3012E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39" w:type="pct"/>
          </w:tcPr>
          <w:p w14:paraId="5F80F9FB" w14:textId="26882236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cs="Calibri"/>
                <w:lang w:eastAsia="en-AU"/>
              </w:rPr>
              <w:t>CPCCBS611</w:t>
            </w:r>
            <w:r w:rsidR="00107DC3">
              <w:rPr>
                <w:rFonts w:cs="Calibri"/>
                <w:lang w:eastAsia="en-AU"/>
              </w:rPr>
              <w:t>8</w:t>
            </w:r>
          </w:p>
        </w:tc>
        <w:tc>
          <w:tcPr>
            <w:tcW w:w="3257" w:type="pct"/>
          </w:tcPr>
          <w:p w14:paraId="7202FBD4" w14:textId="3DBFEB8D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t xml:space="preserve">Assess and advise on performance solutions for </w:t>
            </w:r>
            <w:r w:rsidR="00813808" w:rsidRPr="00C25701">
              <w:rPr>
                <w:rFonts w:cs="Calibri"/>
                <w:lang w:eastAsia="en-AU"/>
              </w:rPr>
              <w:t xml:space="preserve">Class 1 and 10 </w:t>
            </w:r>
            <w:r w:rsidRPr="00C25701">
              <w:t xml:space="preserve">buildings to </w:t>
            </w:r>
            <w:r w:rsidR="007C3F85">
              <w:t>three</w:t>
            </w:r>
            <w:r w:rsidRPr="00C25701">
              <w:t xml:space="preserve"> storeys</w:t>
            </w:r>
          </w:p>
        </w:tc>
      </w:tr>
      <w:tr w:rsidR="004D5C83" w:rsidRPr="00C25701" w14:paraId="221AE33F" w14:textId="77777777" w:rsidTr="00CF12EB">
        <w:tc>
          <w:tcPr>
            <w:tcW w:w="904" w:type="pct"/>
            <w:vAlign w:val="center"/>
          </w:tcPr>
          <w:p w14:paraId="26AF9827" w14:textId="77777777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25701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Pathway</w:t>
            </w:r>
          </w:p>
        </w:tc>
        <w:tc>
          <w:tcPr>
            <w:tcW w:w="4096" w:type="pct"/>
            <w:gridSpan w:val="2"/>
          </w:tcPr>
          <w:p w14:paraId="396CE85C" w14:textId="01423B89" w:rsidR="004D5C83" w:rsidRPr="00C25701" w:rsidRDefault="004D5C83" w:rsidP="004D5C83">
            <w:pPr>
              <w:rPr>
                <w:rFonts w:ascii="Calibri" w:hAnsi="Calibri" w:cs="Calibri"/>
                <w:color w:val="000000" w:themeColor="text1"/>
              </w:rPr>
            </w:pPr>
            <w:r w:rsidRPr="00C25701">
              <w:rPr>
                <w:rFonts w:ascii="Calibri" w:hAnsi="Calibri" w:cs="Calibri"/>
                <w:color w:val="000000" w:themeColor="text1"/>
              </w:rPr>
              <w:t>Completion of this skill set provides credit towards CPC60120 Advanced Diploma of Building Surveying</w:t>
            </w:r>
          </w:p>
        </w:tc>
      </w:tr>
      <w:tr w:rsidR="004D5C83" w:rsidRPr="009C34A5" w14:paraId="33D3A65D" w14:textId="77777777" w:rsidTr="00CF12EB">
        <w:tc>
          <w:tcPr>
            <w:tcW w:w="904" w:type="pct"/>
            <w:vAlign w:val="center"/>
          </w:tcPr>
          <w:p w14:paraId="7C8CA8D9" w14:textId="3D0417DB" w:rsidR="004D5C83" w:rsidRPr="00C25701" w:rsidRDefault="004D5C83" w:rsidP="004D5C8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25701">
              <w:rPr>
                <w:rFonts w:ascii="Calibri" w:hAnsi="Calibri" w:cs="Calibri"/>
                <w:b/>
                <w:bCs/>
                <w:color w:val="000000" w:themeColor="text1"/>
              </w:rPr>
              <w:t>Suggested words for Statement of Attainment</w:t>
            </w:r>
          </w:p>
        </w:tc>
        <w:tc>
          <w:tcPr>
            <w:tcW w:w="4096" w:type="pct"/>
            <w:gridSpan w:val="2"/>
          </w:tcPr>
          <w:p w14:paraId="3B36792E" w14:textId="47E0AE40" w:rsidR="004D5C83" w:rsidRPr="009C34A5" w:rsidRDefault="004D5C83" w:rsidP="004D5C83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C25701">
              <w:rPr>
                <w:rFonts w:ascii="Calibri" w:hAnsi="Calibri" w:cs="Calibri"/>
                <w:color w:val="000000" w:themeColor="text1"/>
              </w:rPr>
              <w:t xml:space="preserve">These units from CPC Construction, Plumbing and Services Training Package meet industry requirements for </w:t>
            </w:r>
            <w:r w:rsidR="000814B4" w:rsidRPr="00C25701">
              <w:rPr>
                <w:rFonts w:ascii="Calibri" w:hAnsi="Calibri" w:cs="Calibri"/>
                <w:color w:val="000000" w:themeColor="text1"/>
              </w:rPr>
              <w:t xml:space="preserve">restricted </w:t>
            </w:r>
            <w:r w:rsidRPr="00C25701">
              <w:rPr>
                <w:rFonts w:ascii="Calibri" w:hAnsi="Calibri" w:cs="Calibri"/>
                <w:color w:val="000000" w:themeColor="text1"/>
              </w:rPr>
              <w:t xml:space="preserve">building surveyors </w:t>
            </w:r>
            <w:r w:rsidR="000814B4" w:rsidRPr="00C25701">
              <w:rPr>
                <w:rFonts w:ascii="Calibri" w:hAnsi="Calibri" w:cs="Calibri"/>
                <w:color w:val="000000" w:themeColor="text1"/>
              </w:rPr>
              <w:t xml:space="preserve">to </w:t>
            </w:r>
            <w:r w:rsidRPr="00C25701">
              <w:rPr>
                <w:rFonts w:ascii="Calibri" w:hAnsi="Calibri" w:cs="Calibri"/>
                <w:color w:val="000000" w:themeColor="text1"/>
              </w:rPr>
              <w:t xml:space="preserve">undertake building surveying services </w:t>
            </w:r>
            <w:r w:rsidR="000814B4" w:rsidRPr="00C25701">
              <w:rPr>
                <w:rFonts w:ascii="Calibri" w:hAnsi="Calibri" w:cs="Calibri"/>
                <w:color w:val="000000" w:themeColor="text1"/>
              </w:rPr>
              <w:t>limited to</w:t>
            </w:r>
            <w:r w:rsidRPr="00C25701">
              <w:rPr>
                <w:rFonts w:ascii="Calibri" w:hAnsi="Calibri" w:cs="Calibri"/>
                <w:color w:val="000000" w:themeColor="text1"/>
              </w:rPr>
              <w:t xml:space="preserve"> Class 1 and 10 buildings</w:t>
            </w:r>
            <w:r w:rsidR="00516F5B" w:rsidRPr="00C2570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25701">
              <w:rPr>
                <w:rFonts w:ascii="Calibri" w:hAnsi="Calibri" w:cs="Calibri"/>
                <w:color w:val="000000" w:themeColor="text1"/>
              </w:rPr>
              <w:t>as defined in the NCC</w:t>
            </w:r>
            <w:r w:rsidRPr="00C25701">
              <w:rPr>
                <w:rFonts w:ascii="Calibri" w:hAnsi="Calibri" w:cs="Calibri"/>
                <w:color w:val="000000" w:themeColor="text1"/>
                <w:shd w:val="clear" w:color="auto" w:fill="FFFFFF"/>
              </w:rPr>
              <w:t>.</w:t>
            </w:r>
          </w:p>
        </w:tc>
      </w:tr>
    </w:tbl>
    <w:p w14:paraId="59A210A8" w14:textId="75B90A51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BACA" w14:textId="77777777" w:rsidR="00687E13" w:rsidRDefault="00687E13" w:rsidP="002B01CD">
      <w:pPr>
        <w:spacing w:after="0" w:line="240" w:lineRule="auto"/>
      </w:pPr>
      <w:r>
        <w:separator/>
      </w:r>
    </w:p>
  </w:endnote>
  <w:endnote w:type="continuationSeparator" w:id="0">
    <w:p w14:paraId="2A4EDC3F" w14:textId="77777777" w:rsidR="00687E13" w:rsidRDefault="00687E13" w:rsidP="002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C84B" w14:textId="77777777" w:rsidR="00687E13" w:rsidRDefault="00687E13" w:rsidP="002B01CD">
      <w:pPr>
        <w:spacing w:after="0" w:line="240" w:lineRule="auto"/>
      </w:pPr>
      <w:r>
        <w:separator/>
      </w:r>
    </w:p>
  </w:footnote>
  <w:footnote w:type="continuationSeparator" w:id="0">
    <w:p w14:paraId="603DEC60" w14:textId="77777777" w:rsidR="00687E13" w:rsidRDefault="00687E13" w:rsidP="002B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73A7"/>
    <w:multiLevelType w:val="hybridMultilevel"/>
    <w:tmpl w:val="3B1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CD8"/>
    <w:multiLevelType w:val="hybridMultilevel"/>
    <w:tmpl w:val="FA2E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26A1"/>
    <w:multiLevelType w:val="hybridMultilevel"/>
    <w:tmpl w:val="2F0C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3576B"/>
    <w:multiLevelType w:val="hybridMultilevel"/>
    <w:tmpl w:val="B8F0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9E"/>
    <w:rsid w:val="00014865"/>
    <w:rsid w:val="00033F38"/>
    <w:rsid w:val="00045ED8"/>
    <w:rsid w:val="00074BDA"/>
    <w:rsid w:val="000814B4"/>
    <w:rsid w:val="000C4ADA"/>
    <w:rsid w:val="000D2033"/>
    <w:rsid w:val="000E2D0D"/>
    <w:rsid w:val="000F2926"/>
    <w:rsid w:val="000F63B0"/>
    <w:rsid w:val="00107DC3"/>
    <w:rsid w:val="001136D4"/>
    <w:rsid w:val="001222BE"/>
    <w:rsid w:val="00126034"/>
    <w:rsid w:val="001271E8"/>
    <w:rsid w:val="00131603"/>
    <w:rsid w:val="00192DCC"/>
    <w:rsid w:val="001D1E89"/>
    <w:rsid w:val="002328FE"/>
    <w:rsid w:val="0023615C"/>
    <w:rsid w:val="0023768B"/>
    <w:rsid w:val="00252E40"/>
    <w:rsid w:val="002678C1"/>
    <w:rsid w:val="002812F3"/>
    <w:rsid w:val="002B01CD"/>
    <w:rsid w:val="002D1AA3"/>
    <w:rsid w:val="003018C6"/>
    <w:rsid w:val="00310E3A"/>
    <w:rsid w:val="0033187D"/>
    <w:rsid w:val="003401A1"/>
    <w:rsid w:val="0034523F"/>
    <w:rsid w:val="0039558E"/>
    <w:rsid w:val="00395CA6"/>
    <w:rsid w:val="003968CA"/>
    <w:rsid w:val="003A16AE"/>
    <w:rsid w:val="0040234B"/>
    <w:rsid w:val="0040619C"/>
    <w:rsid w:val="00411104"/>
    <w:rsid w:val="0042063A"/>
    <w:rsid w:val="00423414"/>
    <w:rsid w:val="00430571"/>
    <w:rsid w:val="0044253B"/>
    <w:rsid w:val="0048472E"/>
    <w:rsid w:val="00485A1D"/>
    <w:rsid w:val="004912B9"/>
    <w:rsid w:val="004B037B"/>
    <w:rsid w:val="004D4B06"/>
    <w:rsid w:val="004D5C83"/>
    <w:rsid w:val="004E5EA5"/>
    <w:rsid w:val="00516F5B"/>
    <w:rsid w:val="00524FCA"/>
    <w:rsid w:val="00564228"/>
    <w:rsid w:val="00567F6C"/>
    <w:rsid w:val="0057579D"/>
    <w:rsid w:val="00586187"/>
    <w:rsid w:val="00587658"/>
    <w:rsid w:val="005A6AF2"/>
    <w:rsid w:val="005B018B"/>
    <w:rsid w:val="005C1F9F"/>
    <w:rsid w:val="005F1CEA"/>
    <w:rsid w:val="00645597"/>
    <w:rsid w:val="006475F6"/>
    <w:rsid w:val="0064787A"/>
    <w:rsid w:val="00662926"/>
    <w:rsid w:val="00665E4F"/>
    <w:rsid w:val="00671C6C"/>
    <w:rsid w:val="00677D7C"/>
    <w:rsid w:val="00687133"/>
    <w:rsid w:val="00687E13"/>
    <w:rsid w:val="006C2C6E"/>
    <w:rsid w:val="006F6619"/>
    <w:rsid w:val="00700724"/>
    <w:rsid w:val="007108E1"/>
    <w:rsid w:val="007334B4"/>
    <w:rsid w:val="007437F6"/>
    <w:rsid w:val="00745D84"/>
    <w:rsid w:val="00750C37"/>
    <w:rsid w:val="00795F00"/>
    <w:rsid w:val="007C005F"/>
    <w:rsid w:val="007C3F85"/>
    <w:rsid w:val="007C4484"/>
    <w:rsid w:val="007E4030"/>
    <w:rsid w:val="0080324B"/>
    <w:rsid w:val="00813808"/>
    <w:rsid w:val="008146E7"/>
    <w:rsid w:val="008255A0"/>
    <w:rsid w:val="00834183"/>
    <w:rsid w:val="0087053B"/>
    <w:rsid w:val="008A4AA3"/>
    <w:rsid w:val="008A7EC1"/>
    <w:rsid w:val="008B4ADC"/>
    <w:rsid w:val="008C5232"/>
    <w:rsid w:val="009307C5"/>
    <w:rsid w:val="009531CE"/>
    <w:rsid w:val="009917BC"/>
    <w:rsid w:val="009B3C4C"/>
    <w:rsid w:val="009B431E"/>
    <w:rsid w:val="009C34A5"/>
    <w:rsid w:val="009D3FF5"/>
    <w:rsid w:val="00A25A1B"/>
    <w:rsid w:val="00A31FE0"/>
    <w:rsid w:val="00A60481"/>
    <w:rsid w:val="00A62167"/>
    <w:rsid w:val="00A70F86"/>
    <w:rsid w:val="00A71B25"/>
    <w:rsid w:val="00AB301E"/>
    <w:rsid w:val="00AB76FA"/>
    <w:rsid w:val="00AC3111"/>
    <w:rsid w:val="00AD6188"/>
    <w:rsid w:val="00B10622"/>
    <w:rsid w:val="00B11B26"/>
    <w:rsid w:val="00B66882"/>
    <w:rsid w:val="00B83E76"/>
    <w:rsid w:val="00BC120B"/>
    <w:rsid w:val="00BE43F4"/>
    <w:rsid w:val="00C04066"/>
    <w:rsid w:val="00C25701"/>
    <w:rsid w:val="00C25F08"/>
    <w:rsid w:val="00C26C0C"/>
    <w:rsid w:val="00C415B9"/>
    <w:rsid w:val="00C478B1"/>
    <w:rsid w:val="00C54B12"/>
    <w:rsid w:val="00C62740"/>
    <w:rsid w:val="00C82267"/>
    <w:rsid w:val="00CB26F8"/>
    <w:rsid w:val="00CB6038"/>
    <w:rsid w:val="00CC2B56"/>
    <w:rsid w:val="00CD566B"/>
    <w:rsid w:val="00CF12EB"/>
    <w:rsid w:val="00D27604"/>
    <w:rsid w:val="00D3513E"/>
    <w:rsid w:val="00D4772F"/>
    <w:rsid w:val="00D729C8"/>
    <w:rsid w:val="00D926D5"/>
    <w:rsid w:val="00DA4613"/>
    <w:rsid w:val="00DA4EA1"/>
    <w:rsid w:val="00DB046B"/>
    <w:rsid w:val="00DB1433"/>
    <w:rsid w:val="00DC3C53"/>
    <w:rsid w:val="00E10896"/>
    <w:rsid w:val="00E33625"/>
    <w:rsid w:val="00E3640D"/>
    <w:rsid w:val="00E42383"/>
    <w:rsid w:val="00E433DF"/>
    <w:rsid w:val="00E56507"/>
    <w:rsid w:val="00EF0987"/>
    <w:rsid w:val="00EF7653"/>
    <w:rsid w:val="00F237FC"/>
    <w:rsid w:val="00F406E1"/>
    <w:rsid w:val="00F406F4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D393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B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CD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CD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40619C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12"/>
    <w:rPr>
      <w:rFonts w:ascii="Segoe UI" w:eastAsiaTheme="minorHAns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4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B12"/>
    <w:rPr>
      <w:rFonts w:eastAsiaTheme="minorHAns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B12"/>
    <w:rPr>
      <w:rFonts w:eastAsiaTheme="minorHAnsi"/>
      <w:b/>
      <w:bCs/>
      <w:sz w:val="20"/>
      <w:szCs w:val="20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074BDA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7C005F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3</cp:revision>
  <dcterms:created xsi:type="dcterms:W3CDTF">2020-06-25T00:27:00Z</dcterms:created>
  <dcterms:modified xsi:type="dcterms:W3CDTF">2020-06-25T00:28:00Z</dcterms:modified>
</cp:coreProperties>
</file>