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B081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344F03F4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56577F3B" w14:textId="575939AA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8448F6">
        <w:rPr>
          <w:rFonts w:ascii="Calibri" w:hAnsi="Calibri" w:cs="Calibri"/>
          <w:color w:val="000000" w:themeColor="text1"/>
          <w:sz w:val="22"/>
          <w:szCs w:val="22"/>
        </w:rPr>
        <w:t>C</w:t>
      </w:r>
      <w:r w:rsidR="00AB2316">
        <w:rPr>
          <w:rFonts w:ascii="Calibri" w:hAnsi="Calibri" w:cs="Calibri"/>
          <w:color w:val="000000" w:themeColor="text1"/>
          <w:sz w:val="22"/>
          <w:szCs w:val="22"/>
        </w:rPr>
        <w:t>4</w:t>
      </w:r>
      <w:r w:rsidR="000D474C">
        <w:rPr>
          <w:rFonts w:ascii="Calibri" w:hAnsi="Calibri" w:cs="Calibri"/>
          <w:color w:val="000000" w:themeColor="text1"/>
          <w:sz w:val="22"/>
          <w:szCs w:val="22"/>
        </w:rPr>
        <w:t>09</w:t>
      </w:r>
      <w:r w:rsidR="00330CC0"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75B8E13B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 xml:space="preserve">Certificate </w:t>
      </w:r>
      <w:r w:rsidR="009958EE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AB2316">
        <w:rPr>
          <w:rFonts w:ascii="Calibri" w:hAnsi="Calibri" w:cs="Calibri"/>
          <w:color w:val="000000" w:themeColor="text1"/>
          <w:sz w:val="22"/>
          <w:szCs w:val="22"/>
        </w:rPr>
        <w:t xml:space="preserve">V </w:t>
      </w:r>
      <w:r w:rsidR="009958EE">
        <w:rPr>
          <w:rFonts w:ascii="Calibri" w:hAnsi="Calibri" w:cs="Calibri"/>
          <w:color w:val="000000" w:themeColor="text1"/>
          <w:sz w:val="22"/>
          <w:szCs w:val="22"/>
        </w:rPr>
        <w:t xml:space="preserve">in </w:t>
      </w:r>
      <w:r w:rsidR="00AB2316">
        <w:rPr>
          <w:rFonts w:ascii="Calibri" w:hAnsi="Calibri" w:cs="Calibri"/>
          <w:color w:val="000000" w:themeColor="text1"/>
          <w:sz w:val="22"/>
          <w:szCs w:val="22"/>
        </w:rPr>
        <w:t>Plumbing and Services</w:t>
      </w:r>
    </w:p>
    <w:p w14:paraId="50A59CBA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7C7A74FE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00E723EC" w14:textId="6C717179" w:rsidR="00AB2316" w:rsidRPr="00AB2316" w:rsidRDefault="00EB2B4F" w:rsidP="00AB2316">
      <w:pPr>
        <w:shd w:val="clear" w:color="auto" w:fill="FFFFFF"/>
        <w:spacing w:after="120"/>
        <w:rPr>
          <w:rFonts w:cs="Arial"/>
          <w:szCs w:val="22"/>
        </w:rPr>
      </w:pPr>
      <w:r w:rsidRPr="00EB2B4F">
        <w:rPr>
          <w:rFonts w:cs="Arial"/>
          <w:szCs w:val="22"/>
        </w:rPr>
        <w:t xml:space="preserve">This </w:t>
      </w:r>
      <w:r w:rsidR="00AB2316" w:rsidRPr="00AB2316">
        <w:rPr>
          <w:rFonts w:cs="Arial"/>
          <w:szCs w:val="22"/>
        </w:rPr>
        <w:t>qualification reflects the role of an experienced plumbing service operator with advanced technical skills and</w:t>
      </w:r>
      <w:r w:rsidR="001D636D">
        <w:rPr>
          <w:rFonts w:cs="Arial"/>
          <w:szCs w:val="22"/>
        </w:rPr>
        <w:t>/</w:t>
      </w:r>
      <w:r w:rsidR="00AB2316" w:rsidRPr="00AB2316">
        <w:rPr>
          <w:rFonts w:cs="Arial"/>
          <w:szCs w:val="22"/>
        </w:rPr>
        <w:t>or responsibility for project design and supervision</w:t>
      </w:r>
      <w:r w:rsidR="00695987">
        <w:rPr>
          <w:rFonts w:cs="Arial"/>
          <w:szCs w:val="22"/>
        </w:rPr>
        <w:t>;</w:t>
      </w:r>
      <w:r w:rsidR="00695987" w:rsidRPr="00AB2316">
        <w:rPr>
          <w:rFonts w:cs="Arial"/>
          <w:szCs w:val="22"/>
        </w:rPr>
        <w:t xml:space="preserve"> </w:t>
      </w:r>
      <w:r w:rsidR="00AB2316" w:rsidRPr="00AB2316">
        <w:rPr>
          <w:rFonts w:cs="Arial"/>
          <w:szCs w:val="22"/>
        </w:rPr>
        <w:t>or a hydraulic consultant responsible for designing hydraulic components and systems that meet client requirements and help in effective water management in domestic, commercial and industry contexts.</w:t>
      </w:r>
    </w:p>
    <w:p w14:paraId="3E59BAB9" w14:textId="77777777" w:rsidR="00AB2316" w:rsidRPr="00AB2316" w:rsidRDefault="00AB2316" w:rsidP="00AB2316">
      <w:pPr>
        <w:shd w:val="clear" w:color="auto" w:fill="FFFFFF"/>
        <w:spacing w:after="120"/>
        <w:rPr>
          <w:rFonts w:cs="Arial"/>
          <w:szCs w:val="22"/>
        </w:rPr>
      </w:pPr>
      <w:r w:rsidRPr="00AB2316">
        <w:rPr>
          <w:rFonts w:cs="Arial"/>
          <w:szCs w:val="22"/>
        </w:rPr>
        <w:t>Occupational titles could include:</w:t>
      </w:r>
    </w:p>
    <w:p w14:paraId="135D2892" w14:textId="77777777" w:rsidR="00AB2316" w:rsidRPr="00AB2316" w:rsidRDefault="00AB2316" w:rsidP="00AB2316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cs="Arial"/>
          <w:szCs w:val="22"/>
        </w:rPr>
      </w:pPr>
      <w:r w:rsidRPr="00AB2316">
        <w:rPr>
          <w:rFonts w:cs="Arial"/>
          <w:szCs w:val="22"/>
        </w:rPr>
        <w:t>Plumbing cont</w:t>
      </w:r>
      <w:r w:rsidR="00AC3E25">
        <w:rPr>
          <w:rFonts w:cs="Arial"/>
          <w:szCs w:val="22"/>
        </w:rPr>
        <w:t>r</w:t>
      </w:r>
      <w:r w:rsidRPr="00AB2316">
        <w:rPr>
          <w:rFonts w:cs="Arial"/>
          <w:szCs w:val="22"/>
        </w:rPr>
        <w:t>actor</w:t>
      </w:r>
    </w:p>
    <w:p w14:paraId="77EA346A" w14:textId="77777777" w:rsidR="00AB2316" w:rsidRPr="00AB2316" w:rsidRDefault="00AB2316" w:rsidP="00AB2316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cs="Arial"/>
          <w:szCs w:val="22"/>
        </w:rPr>
      </w:pPr>
      <w:r w:rsidRPr="00AB2316">
        <w:rPr>
          <w:rFonts w:cs="Arial"/>
          <w:szCs w:val="22"/>
        </w:rPr>
        <w:t>Hydraulic designer</w:t>
      </w:r>
    </w:p>
    <w:p w14:paraId="6EE9BC5E" w14:textId="77777777" w:rsidR="00AB2316" w:rsidRPr="00AB2316" w:rsidRDefault="00AB2316" w:rsidP="00AB2316">
      <w:pPr>
        <w:shd w:val="clear" w:color="auto" w:fill="FFFFFF"/>
        <w:spacing w:after="120"/>
        <w:rPr>
          <w:rFonts w:cs="Arial"/>
          <w:szCs w:val="22"/>
        </w:rPr>
      </w:pPr>
      <w:r w:rsidRPr="00AB2316">
        <w:rPr>
          <w:rFonts w:cs="Arial"/>
          <w:szCs w:val="22"/>
        </w:rPr>
        <w:t>The plumbing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17EC57B7" w14:textId="51F05A45" w:rsidR="00AB2316" w:rsidRPr="00AB2316" w:rsidRDefault="00AB2316" w:rsidP="00AB2316">
      <w:pPr>
        <w:shd w:val="clear" w:color="auto" w:fill="FFFFFF"/>
        <w:spacing w:after="120"/>
        <w:rPr>
          <w:rFonts w:cs="Arial"/>
          <w:szCs w:val="22"/>
        </w:rPr>
      </w:pPr>
      <w:r w:rsidRPr="00AB2316">
        <w:rPr>
          <w:rFonts w:cs="Arial"/>
          <w:szCs w:val="22"/>
        </w:rPr>
        <w:t xml:space="preserve">Completion of the general construction induction training program specified by the model Code of Practice for Construction Work is required before entering a construction work site. Achievement of </w:t>
      </w:r>
      <w:r w:rsidRPr="009C5E14">
        <w:rPr>
          <w:rFonts w:cs="Arial"/>
          <w:i/>
          <w:szCs w:val="22"/>
        </w:rPr>
        <w:t>CPCCWHS1001 Prepare to work safely in the construction industry</w:t>
      </w:r>
      <w:r w:rsidRPr="00AB2316">
        <w:rPr>
          <w:rFonts w:cs="Arial"/>
          <w:szCs w:val="22"/>
        </w:rPr>
        <w:t xml:space="preserve"> meets this requirement.</w:t>
      </w:r>
    </w:p>
    <w:p w14:paraId="60EDBACE" w14:textId="571B22A5" w:rsidR="00851BF0" w:rsidRPr="009958EE" w:rsidRDefault="00AB2316" w:rsidP="00AB2316">
      <w:pPr>
        <w:shd w:val="clear" w:color="auto" w:fill="FFFFFF"/>
        <w:spacing w:after="120"/>
        <w:rPr>
          <w:rFonts w:cs="Arial"/>
          <w:szCs w:val="22"/>
        </w:rPr>
      </w:pPr>
      <w:r w:rsidRPr="00AB2316">
        <w:rPr>
          <w:rFonts w:cs="Arial"/>
          <w:szCs w:val="22"/>
        </w:rPr>
        <w:t>This is a licenced occupation in some jurisdictions. Licensing, legislative, regulatory and certification requirements may vary between states</w:t>
      </w:r>
      <w:r w:rsidR="00AD384A">
        <w:rPr>
          <w:rFonts w:cs="Arial"/>
          <w:szCs w:val="22"/>
        </w:rPr>
        <w:t xml:space="preserve"> and territories</w:t>
      </w:r>
      <w:r w:rsidRPr="00AB2316">
        <w:rPr>
          <w:rFonts w:cs="Arial"/>
          <w:szCs w:val="22"/>
        </w:rPr>
        <w:t>. Relevant state and territory regulatory authorities should be consulted to confirm those requirements</w:t>
      </w:r>
      <w:r w:rsidR="009958EE" w:rsidRPr="009958EE">
        <w:rPr>
          <w:rFonts w:cs="Arial"/>
          <w:szCs w:val="22"/>
        </w:rPr>
        <w:t>.</w:t>
      </w:r>
    </w:p>
    <w:p w14:paraId="1B245AF0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02312102" w14:textId="2E9CE4AD" w:rsidR="006C6318" w:rsidRPr="00AD54A7" w:rsidRDefault="00170AE9" w:rsidP="00907EC5">
      <w:pPr>
        <w:spacing w:after="160" w:line="259" w:lineRule="auto"/>
        <w:rPr>
          <w:color w:val="000000" w:themeColor="text1"/>
        </w:rPr>
      </w:pPr>
      <w:r w:rsidRPr="00AD54A7">
        <w:rPr>
          <w:color w:val="000000" w:themeColor="text1"/>
        </w:rPr>
        <w:t>For the operations stream, a</w:t>
      </w:r>
      <w:r w:rsidR="006C6318" w:rsidRPr="00AD54A7">
        <w:rPr>
          <w:color w:val="000000" w:themeColor="text1"/>
        </w:rPr>
        <w:t xml:space="preserve"> candidate must hold a Certificate III in Plumbing or be authorised to undertake plumbing work by an Australian regulator/licensing body. </w:t>
      </w:r>
    </w:p>
    <w:p w14:paraId="0A8AE69F" w14:textId="470CFF2A" w:rsidR="00284E67" w:rsidRPr="00AD54A7" w:rsidRDefault="00284E67" w:rsidP="00907EC5">
      <w:pPr>
        <w:spacing w:after="160" w:line="259" w:lineRule="auto"/>
        <w:rPr>
          <w:color w:val="000000" w:themeColor="text1"/>
        </w:rPr>
      </w:pPr>
      <w:r w:rsidRPr="00AD54A7">
        <w:rPr>
          <w:color w:val="000000" w:themeColor="text1"/>
        </w:rPr>
        <w:t xml:space="preserve">There are no entry requirements for the </w:t>
      </w:r>
      <w:r w:rsidR="00836499">
        <w:rPr>
          <w:iCs/>
          <w:color w:val="000000" w:themeColor="text1"/>
        </w:rPr>
        <w:t>h</w:t>
      </w:r>
      <w:r w:rsidR="00836499" w:rsidRPr="00AD54A7">
        <w:rPr>
          <w:iCs/>
          <w:color w:val="000000" w:themeColor="text1"/>
        </w:rPr>
        <w:t xml:space="preserve">ydraulic </w:t>
      </w:r>
      <w:r w:rsidRPr="00AD54A7">
        <w:rPr>
          <w:iCs/>
          <w:color w:val="000000" w:themeColor="text1"/>
        </w:rPr>
        <w:t>services design</w:t>
      </w:r>
      <w:r w:rsidRPr="00AD54A7">
        <w:rPr>
          <w:rFonts w:cs="Arial"/>
          <w:color w:val="000000" w:themeColor="text1"/>
          <w:szCs w:val="22"/>
        </w:rPr>
        <w:t xml:space="preserve"> pathway</w:t>
      </w:r>
      <w:r w:rsidR="00836499">
        <w:rPr>
          <w:rFonts w:cs="Arial"/>
          <w:color w:val="000000" w:themeColor="text1"/>
          <w:szCs w:val="22"/>
        </w:rPr>
        <w:t>.</w:t>
      </w:r>
    </w:p>
    <w:p w14:paraId="0237A9FC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2C80D4FB" w14:textId="04067B03" w:rsidR="00AB2316" w:rsidRPr="00AB2316" w:rsidRDefault="009958EE" w:rsidP="00AB2316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 xml:space="preserve">To </w:t>
      </w:r>
      <w:r w:rsidR="00AE419F">
        <w:rPr>
          <w:rFonts w:cs="Arial"/>
          <w:szCs w:val="22"/>
        </w:rPr>
        <w:t>be awarded</w:t>
      </w:r>
      <w:r w:rsidR="00AB2316" w:rsidRPr="00AB2316">
        <w:rPr>
          <w:rFonts w:cs="Arial"/>
          <w:szCs w:val="22"/>
        </w:rPr>
        <w:t xml:space="preserve"> this qualification, competency must be </w:t>
      </w:r>
      <w:r w:rsidR="00AE419F">
        <w:rPr>
          <w:rFonts w:cs="Arial"/>
          <w:szCs w:val="22"/>
        </w:rPr>
        <w:t>achieved</w:t>
      </w:r>
      <w:r w:rsidR="00AB2316" w:rsidRPr="00AB2316">
        <w:rPr>
          <w:rFonts w:cs="Arial"/>
          <w:szCs w:val="22"/>
        </w:rPr>
        <w:t xml:space="preserve"> in:</w:t>
      </w:r>
    </w:p>
    <w:p w14:paraId="65777002" w14:textId="5079634E" w:rsidR="00AB2316" w:rsidRPr="00AB2316" w:rsidRDefault="00373A63" w:rsidP="00AB2316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804A03">
        <w:rPr>
          <w:rFonts w:cs="Arial"/>
          <w:szCs w:val="22"/>
        </w:rPr>
        <w:t>5</w:t>
      </w:r>
      <w:r w:rsidR="00AB2316" w:rsidRPr="00AB2316">
        <w:rPr>
          <w:rFonts w:cs="Arial"/>
          <w:szCs w:val="22"/>
        </w:rPr>
        <w:t xml:space="preserve"> units of competency:</w:t>
      </w:r>
    </w:p>
    <w:p w14:paraId="3210F0DE" w14:textId="5BE3975A" w:rsidR="00AB2316" w:rsidRPr="00AB2316" w:rsidRDefault="00373A63" w:rsidP="00AB2316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804A03">
        <w:rPr>
          <w:rFonts w:cs="Arial"/>
          <w:szCs w:val="22"/>
        </w:rPr>
        <w:t>0</w:t>
      </w:r>
      <w:r w:rsidR="00AB2316" w:rsidRPr="00AB2316">
        <w:rPr>
          <w:rFonts w:cs="Arial"/>
          <w:szCs w:val="22"/>
        </w:rPr>
        <w:t xml:space="preserve"> core units</w:t>
      </w:r>
    </w:p>
    <w:p w14:paraId="4EF53CF4" w14:textId="5A849CB2" w:rsidR="00AB2316" w:rsidRDefault="00092E71" w:rsidP="00AB2316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AB2316" w:rsidRPr="00AB2316">
        <w:rPr>
          <w:rFonts w:cs="Arial"/>
          <w:szCs w:val="22"/>
        </w:rPr>
        <w:t xml:space="preserve"> elective units.</w:t>
      </w:r>
    </w:p>
    <w:p w14:paraId="2C7C4DB4" w14:textId="5A9F8200" w:rsidR="003A4E82" w:rsidRDefault="003A4E82" w:rsidP="003A4E82">
      <w:pPr>
        <w:shd w:val="clear" w:color="auto" w:fill="FFFFFF"/>
        <w:spacing w:after="120"/>
        <w:rPr>
          <w:rFonts w:cs="Arial"/>
          <w:szCs w:val="22"/>
        </w:rPr>
      </w:pPr>
    </w:p>
    <w:p w14:paraId="3FDCDFC7" w14:textId="440DB2F9" w:rsidR="003A4E82" w:rsidRPr="00720B89" w:rsidRDefault="003A4E82" w:rsidP="003A4E82">
      <w:r w:rsidRPr="00720B89">
        <w:t xml:space="preserve">For the award of the </w:t>
      </w:r>
      <w:r w:rsidRPr="006C6318">
        <w:rPr>
          <w:i/>
          <w:iCs/>
        </w:rPr>
        <w:t>CPC409</w:t>
      </w:r>
      <w:r w:rsidR="007D7BBF">
        <w:rPr>
          <w:i/>
          <w:iCs/>
        </w:rPr>
        <w:t>20</w:t>
      </w:r>
      <w:r w:rsidRPr="006C6318">
        <w:rPr>
          <w:i/>
          <w:iCs/>
        </w:rPr>
        <w:t xml:space="preserve"> Certificate IV in Plumbing and Services (Hydraulic services design)</w:t>
      </w:r>
      <w:r w:rsidRPr="00720B89">
        <w:t xml:space="preserve"> electives are to be selected as follows:</w:t>
      </w:r>
    </w:p>
    <w:p w14:paraId="63F20AFD" w14:textId="77777777" w:rsidR="003A4E82" w:rsidRDefault="003A4E82" w:rsidP="003A4E82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15</w:t>
      </w:r>
      <w:r w:rsidRPr="00AB2316">
        <w:rPr>
          <w:rFonts w:cs="Arial"/>
          <w:szCs w:val="22"/>
        </w:rPr>
        <w:t xml:space="preserve"> units of competency:</w:t>
      </w:r>
    </w:p>
    <w:p w14:paraId="295C615E" w14:textId="77777777" w:rsidR="003A4E82" w:rsidRPr="00AB2316" w:rsidRDefault="003A4E82" w:rsidP="003A4E82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10</w:t>
      </w:r>
      <w:r w:rsidRPr="00AB2316">
        <w:rPr>
          <w:rFonts w:cs="Arial"/>
          <w:szCs w:val="22"/>
        </w:rPr>
        <w:t xml:space="preserve"> core units</w:t>
      </w:r>
    </w:p>
    <w:p w14:paraId="58101B9A" w14:textId="41F9310F" w:rsidR="003A4E82" w:rsidRDefault="003A4E82" w:rsidP="003A4E82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Pr="00AB2316">
        <w:rPr>
          <w:rFonts w:cs="Arial"/>
          <w:szCs w:val="22"/>
        </w:rPr>
        <w:t xml:space="preserve"> elective units</w:t>
      </w:r>
      <w:r>
        <w:rPr>
          <w:rFonts w:cs="Arial"/>
          <w:szCs w:val="22"/>
        </w:rPr>
        <w:t xml:space="preserve"> from Group A </w:t>
      </w:r>
    </w:p>
    <w:p w14:paraId="344B2034" w14:textId="31F5BCDF" w:rsidR="003A4E82" w:rsidRPr="00E83DB4" w:rsidRDefault="003A4E82" w:rsidP="003A4E82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 w:rsidRPr="00AD54A7">
        <w:rPr>
          <w:rFonts w:cs="Arial"/>
          <w:color w:val="000000" w:themeColor="text1"/>
          <w:szCs w:val="22"/>
        </w:rPr>
        <w:t xml:space="preserve">2 units may be </w:t>
      </w:r>
      <w:r w:rsidR="00AE419F">
        <w:rPr>
          <w:rFonts w:cs="Arial"/>
          <w:color w:val="000000" w:themeColor="text1"/>
          <w:szCs w:val="22"/>
        </w:rPr>
        <w:t>replaced by units</w:t>
      </w:r>
      <w:r w:rsidRPr="00AD54A7">
        <w:rPr>
          <w:rFonts w:cs="Arial"/>
          <w:color w:val="000000" w:themeColor="text1"/>
          <w:szCs w:val="22"/>
        </w:rPr>
        <w:t xml:space="preserve"> from </w:t>
      </w:r>
      <w:r w:rsidR="00E83DB4">
        <w:rPr>
          <w:rFonts w:cs="Arial"/>
          <w:color w:val="000000" w:themeColor="text1"/>
          <w:szCs w:val="22"/>
        </w:rPr>
        <w:t>other</w:t>
      </w:r>
      <w:r w:rsidRPr="00AD54A7">
        <w:rPr>
          <w:rFonts w:cs="Arial"/>
          <w:color w:val="000000" w:themeColor="text1"/>
          <w:szCs w:val="22"/>
        </w:rPr>
        <w:t xml:space="preserve"> Training Package</w:t>
      </w:r>
      <w:r w:rsidR="00E83DB4">
        <w:rPr>
          <w:rFonts w:cs="Arial"/>
          <w:color w:val="000000" w:themeColor="text1"/>
          <w:szCs w:val="22"/>
        </w:rPr>
        <w:t>s</w:t>
      </w:r>
      <w:r w:rsidRPr="00AD54A7">
        <w:rPr>
          <w:rFonts w:cs="Arial"/>
          <w:color w:val="000000" w:themeColor="text1"/>
          <w:szCs w:val="22"/>
        </w:rPr>
        <w:t xml:space="preserve"> or </w:t>
      </w:r>
      <w:r w:rsidR="00E83DB4">
        <w:rPr>
          <w:rFonts w:cs="Arial"/>
          <w:color w:val="000000" w:themeColor="text1"/>
          <w:szCs w:val="22"/>
        </w:rPr>
        <w:t xml:space="preserve">nationally </w:t>
      </w:r>
      <w:r w:rsidRPr="00AD54A7">
        <w:rPr>
          <w:rFonts w:cs="Arial"/>
          <w:color w:val="000000" w:themeColor="text1"/>
          <w:szCs w:val="22"/>
        </w:rPr>
        <w:t>accredited course</w:t>
      </w:r>
      <w:r w:rsidR="00E83DB4">
        <w:rPr>
          <w:rFonts w:cs="Arial"/>
          <w:color w:val="000000" w:themeColor="text1"/>
          <w:szCs w:val="22"/>
        </w:rPr>
        <w:t>s</w:t>
      </w:r>
      <w:r w:rsidRPr="00AD54A7">
        <w:rPr>
          <w:rFonts w:cs="Arial"/>
          <w:color w:val="000000" w:themeColor="text1"/>
          <w:szCs w:val="22"/>
        </w:rPr>
        <w:t xml:space="preserve"> </w:t>
      </w:r>
      <w:r w:rsidR="00E83DB4">
        <w:rPr>
          <w:rFonts w:cs="Arial"/>
          <w:color w:val="000000" w:themeColor="text1"/>
          <w:szCs w:val="22"/>
        </w:rPr>
        <w:t>at Certificate IV level and above</w:t>
      </w:r>
      <w:r w:rsidR="00AE419F">
        <w:rPr>
          <w:rFonts w:cs="Arial"/>
          <w:color w:val="000000" w:themeColor="text1"/>
          <w:szCs w:val="22"/>
        </w:rPr>
        <w:t>,</w:t>
      </w:r>
      <w:r w:rsidR="00E83DB4">
        <w:rPr>
          <w:rFonts w:cs="Arial"/>
          <w:color w:val="000000" w:themeColor="text1"/>
          <w:szCs w:val="22"/>
        </w:rPr>
        <w:t xml:space="preserve"> </w:t>
      </w:r>
      <w:r w:rsidRPr="00AD54A7">
        <w:rPr>
          <w:rFonts w:cs="Arial"/>
          <w:color w:val="000000" w:themeColor="text1"/>
          <w:szCs w:val="22"/>
        </w:rPr>
        <w:t>provided they do not duplicate the outcome of another unit chosen for the qualification.</w:t>
      </w:r>
      <w:r w:rsidR="00E83DB4">
        <w:rPr>
          <w:rFonts w:cs="Arial"/>
          <w:color w:val="000000" w:themeColor="text1"/>
          <w:szCs w:val="22"/>
        </w:rPr>
        <w:t xml:space="preserve"> </w:t>
      </w:r>
    </w:p>
    <w:p w14:paraId="5668D156" w14:textId="6C7BAE8E" w:rsidR="00E83DB4" w:rsidRPr="003A4E82" w:rsidRDefault="00E83DB4" w:rsidP="003A4E82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color w:val="000000" w:themeColor="text1"/>
          <w:szCs w:val="22"/>
        </w:rPr>
        <w:t>Electives cannot be selected from Group B.</w:t>
      </w:r>
    </w:p>
    <w:p w14:paraId="66381BA4" w14:textId="77777777" w:rsidR="003A4E82" w:rsidRPr="003A4E82" w:rsidRDefault="003A4E82" w:rsidP="003A4E82">
      <w:pPr>
        <w:shd w:val="clear" w:color="auto" w:fill="FFFFFF"/>
        <w:spacing w:after="120"/>
        <w:rPr>
          <w:rFonts w:cs="Arial"/>
          <w:szCs w:val="22"/>
        </w:rPr>
      </w:pPr>
    </w:p>
    <w:p w14:paraId="1BD827A3" w14:textId="7C0EECA2" w:rsidR="00720B89" w:rsidRPr="00AD54A7" w:rsidRDefault="00720B89">
      <w:pPr>
        <w:rPr>
          <w:color w:val="000000" w:themeColor="text1"/>
        </w:rPr>
      </w:pPr>
      <w:r w:rsidRPr="00720B89">
        <w:lastRenderedPageBreak/>
        <w:t xml:space="preserve">For the award of the </w:t>
      </w:r>
      <w:r w:rsidRPr="006C6318">
        <w:rPr>
          <w:i/>
          <w:iCs/>
        </w:rPr>
        <w:t>CPC</w:t>
      </w:r>
      <w:r w:rsidR="00EC4444" w:rsidRPr="006C6318">
        <w:rPr>
          <w:i/>
          <w:iCs/>
        </w:rPr>
        <w:t>409</w:t>
      </w:r>
      <w:r w:rsidR="007D7BBF">
        <w:rPr>
          <w:i/>
          <w:iCs/>
        </w:rPr>
        <w:t>20</w:t>
      </w:r>
      <w:r w:rsidRPr="006C6318">
        <w:rPr>
          <w:i/>
          <w:iCs/>
        </w:rPr>
        <w:t xml:space="preserve"> Certificate IV in Plumbing </w:t>
      </w:r>
      <w:r w:rsidR="00EC4444" w:rsidRPr="006C6318">
        <w:rPr>
          <w:i/>
          <w:iCs/>
        </w:rPr>
        <w:t xml:space="preserve">and Services </w:t>
      </w:r>
      <w:r w:rsidRPr="006C6318">
        <w:rPr>
          <w:i/>
          <w:iCs/>
        </w:rPr>
        <w:t>(</w:t>
      </w:r>
      <w:r w:rsidR="00C93CA6" w:rsidRPr="006C6318">
        <w:rPr>
          <w:i/>
          <w:iCs/>
        </w:rPr>
        <w:t>Operations</w:t>
      </w:r>
      <w:r w:rsidRPr="006C6318">
        <w:rPr>
          <w:i/>
          <w:iCs/>
        </w:rPr>
        <w:t>)</w:t>
      </w:r>
      <w:r w:rsidRPr="00720B89">
        <w:t xml:space="preserve"> electives are to be </w:t>
      </w:r>
      <w:r w:rsidR="00AE419F">
        <w:rPr>
          <w:color w:val="000000" w:themeColor="text1"/>
        </w:rPr>
        <w:t>completed</w:t>
      </w:r>
      <w:r w:rsidRPr="00AD54A7">
        <w:rPr>
          <w:color w:val="000000" w:themeColor="text1"/>
        </w:rPr>
        <w:t xml:space="preserve"> as follows:</w:t>
      </w:r>
    </w:p>
    <w:p w14:paraId="46C14C2F" w14:textId="4B156D6D" w:rsidR="00720B89" w:rsidRPr="00AD54A7" w:rsidRDefault="00720B89" w:rsidP="00720B89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color w:val="000000" w:themeColor="text1"/>
          <w:szCs w:val="22"/>
        </w:rPr>
      </w:pPr>
      <w:r w:rsidRPr="00AD54A7">
        <w:rPr>
          <w:rFonts w:cs="Arial"/>
          <w:color w:val="000000" w:themeColor="text1"/>
          <w:szCs w:val="22"/>
        </w:rPr>
        <w:t>15 units of competency:</w:t>
      </w:r>
    </w:p>
    <w:p w14:paraId="00947DC5" w14:textId="3AB944A7" w:rsidR="00720B89" w:rsidRPr="00AD54A7" w:rsidRDefault="00720B89" w:rsidP="00720B89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color w:val="000000" w:themeColor="text1"/>
          <w:szCs w:val="22"/>
        </w:rPr>
      </w:pPr>
      <w:r w:rsidRPr="00AD54A7">
        <w:rPr>
          <w:rFonts w:cs="Arial"/>
          <w:color w:val="000000" w:themeColor="text1"/>
          <w:szCs w:val="22"/>
        </w:rPr>
        <w:t>10 core units</w:t>
      </w:r>
    </w:p>
    <w:p w14:paraId="708B8AFD" w14:textId="50B3C225" w:rsidR="006B2789" w:rsidRPr="00AD54A7" w:rsidRDefault="006B2789" w:rsidP="00720B89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color w:val="000000" w:themeColor="text1"/>
          <w:szCs w:val="22"/>
        </w:rPr>
      </w:pPr>
      <w:r w:rsidRPr="00AD54A7">
        <w:rPr>
          <w:rFonts w:cs="Arial"/>
          <w:color w:val="000000" w:themeColor="text1"/>
          <w:szCs w:val="22"/>
        </w:rPr>
        <w:t>a</w:t>
      </w:r>
      <w:r w:rsidR="00E83DB4">
        <w:rPr>
          <w:rFonts w:cs="Arial"/>
          <w:color w:val="000000" w:themeColor="text1"/>
          <w:szCs w:val="22"/>
        </w:rPr>
        <w:t>t least 1 elective from Group B</w:t>
      </w:r>
    </w:p>
    <w:p w14:paraId="2BD91609" w14:textId="10FEE49D" w:rsidR="00C93CA6" w:rsidRPr="00AD54A7" w:rsidRDefault="006B2789" w:rsidP="00C93CA6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color w:val="000000" w:themeColor="text1"/>
          <w:szCs w:val="22"/>
        </w:rPr>
      </w:pPr>
      <w:r w:rsidRPr="00AD54A7">
        <w:rPr>
          <w:rFonts w:cs="Arial"/>
          <w:color w:val="000000" w:themeColor="text1"/>
          <w:szCs w:val="22"/>
        </w:rPr>
        <w:t>the remaining 4</w:t>
      </w:r>
      <w:r w:rsidR="00720B89" w:rsidRPr="00AD54A7">
        <w:rPr>
          <w:rFonts w:cs="Arial"/>
          <w:color w:val="000000" w:themeColor="text1"/>
          <w:szCs w:val="22"/>
        </w:rPr>
        <w:t xml:space="preserve"> </w:t>
      </w:r>
      <w:r w:rsidR="00F93B38" w:rsidRPr="00AD54A7">
        <w:rPr>
          <w:rFonts w:cs="Arial"/>
          <w:color w:val="000000" w:themeColor="text1"/>
          <w:szCs w:val="22"/>
        </w:rPr>
        <w:t>e</w:t>
      </w:r>
      <w:r w:rsidR="00720B89" w:rsidRPr="00AD54A7">
        <w:rPr>
          <w:rFonts w:cs="Arial"/>
          <w:color w:val="000000" w:themeColor="text1"/>
          <w:szCs w:val="22"/>
        </w:rPr>
        <w:t>lective units</w:t>
      </w:r>
      <w:r w:rsidR="00081D7E" w:rsidRPr="00AD54A7">
        <w:rPr>
          <w:rFonts w:cs="Arial"/>
          <w:color w:val="000000" w:themeColor="text1"/>
          <w:szCs w:val="22"/>
        </w:rPr>
        <w:t xml:space="preserve"> from </w:t>
      </w:r>
      <w:r w:rsidR="007A4630">
        <w:rPr>
          <w:rFonts w:cs="Arial"/>
          <w:color w:val="000000" w:themeColor="text1"/>
          <w:szCs w:val="22"/>
        </w:rPr>
        <w:t>Group A or Group B</w:t>
      </w:r>
      <w:r w:rsidR="00081D7E" w:rsidRPr="00AD54A7">
        <w:rPr>
          <w:rFonts w:cs="Arial"/>
          <w:color w:val="000000" w:themeColor="text1"/>
          <w:szCs w:val="22"/>
        </w:rPr>
        <w:t xml:space="preserve"> </w:t>
      </w:r>
    </w:p>
    <w:p w14:paraId="00F5F409" w14:textId="693B3D86" w:rsidR="00C93CA6" w:rsidRPr="00AD54A7" w:rsidRDefault="00E83DB4" w:rsidP="006C6318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color w:val="000000" w:themeColor="text1"/>
          <w:szCs w:val="22"/>
        </w:rPr>
      </w:pPr>
      <w:r w:rsidRPr="00AD54A7">
        <w:rPr>
          <w:rFonts w:cs="Arial"/>
          <w:color w:val="000000" w:themeColor="text1"/>
          <w:szCs w:val="22"/>
        </w:rPr>
        <w:t xml:space="preserve">2 units may be </w:t>
      </w:r>
      <w:r w:rsidR="00AE419F">
        <w:rPr>
          <w:rFonts w:cs="Arial"/>
          <w:color w:val="000000" w:themeColor="text1"/>
          <w:szCs w:val="22"/>
        </w:rPr>
        <w:t>replaced by units</w:t>
      </w:r>
      <w:r w:rsidRPr="00AD54A7">
        <w:rPr>
          <w:rFonts w:cs="Arial"/>
          <w:color w:val="000000" w:themeColor="text1"/>
          <w:szCs w:val="22"/>
        </w:rPr>
        <w:t xml:space="preserve"> from </w:t>
      </w:r>
      <w:r>
        <w:rPr>
          <w:rFonts w:cs="Arial"/>
          <w:color w:val="000000" w:themeColor="text1"/>
          <w:szCs w:val="22"/>
        </w:rPr>
        <w:t>other</w:t>
      </w:r>
      <w:r w:rsidRPr="00AD54A7">
        <w:rPr>
          <w:rFonts w:cs="Arial"/>
          <w:color w:val="000000" w:themeColor="text1"/>
          <w:szCs w:val="22"/>
        </w:rPr>
        <w:t xml:space="preserve"> Training Package</w:t>
      </w:r>
      <w:r>
        <w:rPr>
          <w:rFonts w:cs="Arial"/>
          <w:color w:val="000000" w:themeColor="text1"/>
          <w:szCs w:val="22"/>
        </w:rPr>
        <w:t>s</w:t>
      </w:r>
      <w:r w:rsidRPr="00AD54A7">
        <w:rPr>
          <w:rFonts w:cs="Arial"/>
          <w:color w:val="000000" w:themeColor="text1"/>
          <w:szCs w:val="22"/>
        </w:rPr>
        <w:t xml:space="preserve"> or </w:t>
      </w:r>
      <w:r>
        <w:rPr>
          <w:rFonts w:cs="Arial"/>
          <w:color w:val="000000" w:themeColor="text1"/>
          <w:szCs w:val="22"/>
        </w:rPr>
        <w:t xml:space="preserve">nationally </w:t>
      </w:r>
      <w:r w:rsidRPr="00AD54A7">
        <w:rPr>
          <w:rFonts w:cs="Arial"/>
          <w:color w:val="000000" w:themeColor="text1"/>
          <w:szCs w:val="22"/>
        </w:rPr>
        <w:t>accredited course</w:t>
      </w:r>
      <w:r>
        <w:rPr>
          <w:rFonts w:cs="Arial"/>
          <w:color w:val="000000" w:themeColor="text1"/>
          <w:szCs w:val="22"/>
        </w:rPr>
        <w:t>s</w:t>
      </w:r>
      <w:r w:rsidRPr="00AD54A7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at Certificate IV level and above</w:t>
      </w:r>
      <w:r w:rsidR="001C1C46">
        <w:rPr>
          <w:rFonts w:cs="Arial"/>
          <w:color w:val="000000" w:themeColor="text1"/>
          <w:szCs w:val="22"/>
        </w:rPr>
        <w:t>,</w:t>
      </w:r>
      <w:r>
        <w:rPr>
          <w:rFonts w:cs="Arial"/>
          <w:color w:val="000000" w:themeColor="text1"/>
          <w:szCs w:val="22"/>
        </w:rPr>
        <w:t xml:space="preserve"> </w:t>
      </w:r>
      <w:r w:rsidRPr="00AD54A7">
        <w:rPr>
          <w:rFonts w:cs="Arial"/>
          <w:color w:val="000000" w:themeColor="text1"/>
          <w:szCs w:val="22"/>
        </w:rPr>
        <w:t>provided they do not duplicate the outcome of another unit chosen for the qualification.</w:t>
      </w:r>
    </w:p>
    <w:p w14:paraId="5315A8B4" w14:textId="77777777" w:rsidR="00C93CA6" w:rsidRDefault="00C93CA6" w:rsidP="006C6318">
      <w:pPr>
        <w:pStyle w:val="ListParagraph"/>
        <w:shd w:val="clear" w:color="auto" w:fill="FFFFFF"/>
        <w:spacing w:after="120"/>
        <w:ind w:left="1440"/>
        <w:rPr>
          <w:rFonts w:cs="Arial"/>
          <w:szCs w:val="22"/>
        </w:rPr>
      </w:pPr>
    </w:p>
    <w:p w14:paraId="31304158" w14:textId="17FAE34A" w:rsidR="00AB2316" w:rsidRPr="00AB2316" w:rsidRDefault="00AB2316" w:rsidP="00AB2316">
      <w:pPr>
        <w:shd w:val="clear" w:color="auto" w:fill="FFFFFF"/>
        <w:spacing w:after="120"/>
        <w:rPr>
          <w:rFonts w:cs="Arial"/>
          <w:szCs w:val="22"/>
        </w:rPr>
      </w:pPr>
      <w:r w:rsidRPr="00AB2316">
        <w:rPr>
          <w:rFonts w:cs="Arial"/>
          <w:szCs w:val="22"/>
        </w:rPr>
        <w:t>The elective units must ensure the integrity of the AQF alignment and contribute to a valid, industry-supported vocational outcome</w:t>
      </w:r>
      <w:r w:rsidR="00EC4444">
        <w:rPr>
          <w:rFonts w:cs="Arial"/>
          <w:szCs w:val="22"/>
        </w:rPr>
        <w:t>.</w:t>
      </w:r>
    </w:p>
    <w:p w14:paraId="049642A0" w14:textId="654D8215" w:rsidR="00851BF0" w:rsidRDefault="009C5E14" w:rsidP="00851BF0">
      <w:pPr>
        <w:rPr>
          <w:rFonts w:cs="Calibri"/>
          <w:bCs/>
          <w:color w:val="000000"/>
          <w:szCs w:val="22"/>
          <w:shd w:val="clear" w:color="auto" w:fill="FFFFFF"/>
          <w:lang w:eastAsia="en-AU"/>
        </w:rPr>
      </w:pPr>
      <w:r w:rsidRPr="009C5E14">
        <w:rPr>
          <w:rFonts w:cs="Calibri"/>
          <w:bCs/>
          <w:color w:val="000000"/>
          <w:szCs w:val="22"/>
          <w:shd w:val="clear" w:color="auto" w:fill="FFFFFF"/>
          <w:lang w:eastAsia="en-AU"/>
        </w:rPr>
        <w:t>An asterisk (*) against a unit code below indicates that the unit has a prerequisite. Please check the unit for information on this. All prerequisites are packaged in the qualification.</w:t>
      </w:r>
    </w:p>
    <w:p w14:paraId="69845125" w14:textId="77777777" w:rsidR="009C5E14" w:rsidRPr="00851BF0" w:rsidRDefault="009C5E14" w:rsidP="00851BF0">
      <w:pPr>
        <w:rPr>
          <w:rFonts w:cs="Calibri"/>
          <w:color w:val="000000" w:themeColor="text1"/>
          <w:u w:val="single"/>
        </w:rPr>
      </w:pPr>
    </w:p>
    <w:bookmarkEnd w:id="1"/>
    <w:p w14:paraId="13869E50" w14:textId="77777777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1684"/>
        <w:gridCol w:w="7389"/>
      </w:tblGrid>
      <w:tr w:rsidR="000D474C" w:rsidRPr="000D474C" w14:paraId="7CCD71D0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bookmarkEnd w:id="0"/>
          <w:p w14:paraId="5C9E998D" w14:textId="77777777" w:rsidR="000D474C" w:rsidRPr="009D3F0C" w:rsidRDefault="000D474C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color w:val="000000" w:themeColor="text1"/>
                <w:szCs w:val="22"/>
              </w:rPr>
              <w:t>BSBSMB401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4B75AF28" w14:textId="77777777" w:rsidR="000D474C" w:rsidRPr="000D474C" w:rsidRDefault="000D474C" w:rsidP="000D474C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color w:val="000000" w:themeColor="text1"/>
                <w:szCs w:val="22"/>
              </w:rPr>
              <w:t>Establish legal and risk management requirements of small business</w:t>
            </w:r>
          </w:p>
        </w:tc>
      </w:tr>
      <w:tr w:rsidR="006C595D" w:rsidRPr="000D474C" w14:paraId="51027DF8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7094220F" w14:textId="77777777" w:rsidR="006C595D" w:rsidRPr="009D3F0C" w:rsidRDefault="006C595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color w:val="000000" w:themeColor="text1"/>
                <w:szCs w:val="22"/>
              </w:rPr>
              <w:t>CPCCBC4012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7DEB900F" w14:textId="4E43E877" w:rsidR="006C595D" w:rsidRPr="000D474C" w:rsidRDefault="006C595D" w:rsidP="006C595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color w:val="000000" w:themeColor="text1"/>
                <w:szCs w:val="22"/>
              </w:rPr>
              <w:t>Read and interpret plans</w:t>
            </w:r>
            <w:r>
              <w:rPr>
                <w:color w:val="000000" w:themeColor="text1"/>
                <w:szCs w:val="22"/>
              </w:rPr>
              <w:t xml:space="preserve"> and specifications</w:t>
            </w:r>
          </w:p>
        </w:tc>
      </w:tr>
      <w:tr w:rsidR="006C595D" w:rsidRPr="000D474C" w14:paraId="0A05FBE7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67A769EF" w14:textId="77777777" w:rsidR="006C595D" w:rsidRPr="009D3F0C" w:rsidRDefault="006C595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szCs w:val="22"/>
              </w:rPr>
              <w:t>CPCPCM4011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1C97E3AC" w14:textId="77777777" w:rsidR="006C595D" w:rsidRPr="000D474C" w:rsidRDefault="006C595D" w:rsidP="006C595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szCs w:val="22"/>
              </w:rPr>
              <w:t>Carry out work-based risk control processes</w:t>
            </w:r>
          </w:p>
        </w:tc>
      </w:tr>
      <w:tr w:rsidR="006C595D" w:rsidRPr="000D474C" w14:paraId="30D2DE03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229D8C29" w14:textId="77777777" w:rsidR="006C595D" w:rsidRPr="009D3F0C" w:rsidRDefault="006C595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szCs w:val="22"/>
              </w:rPr>
              <w:t>CPCPCM4012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1116C010" w14:textId="77777777" w:rsidR="006C595D" w:rsidRPr="000D474C" w:rsidRDefault="006C595D" w:rsidP="006C595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szCs w:val="22"/>
              </w:rPr>
              <w:t>Estimate and cost work</w:t>
            </w:r>
          </w:p>
        </w:tc>
      </w:tr>
      <w:tr w:rsidR="00596E08" w:rsidRPr="000D474C" w14:paraId="5E212575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</w:tcPr>
          <w:p w14:paraId="57C38118" w14:textId="32108515" w:rsidR="00596E08" w:rsidRPr="009D3F0C" w:rsidRDefault="00596E08" w:rsidP="009D3F0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CPCPCM4015</w:t>
            </w:r>
          </w:p>
        </w:tc>
        <w:tc>
          <w:tcPr>
            <w:tcW w:w="7389" w:type="dxa"/>
            <w:shd w:val="clear" w:color="000000" w:fill="FFFFFF"/>
            <w:vAlign w:val="center"/>
          </w:tcPr>
          <w:p w14:paraId="023C4B4B" w14:textId="2E8B1401" w:rsidR="00596E08" w:rsidRPr="000D474C" w:rsidRDefault="00596E08" w:rsidP="006C595D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Access and interpret regulatory requirements for the plumbing and services industry</w:t>
            </w:r>
          </w:p>
        </w:tc>
      </w:tr>
      <w:tr w:rsidR="006C595D" w:rsidRPr="000D474C" w14:paraId="63D306D1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249BD569" w14:textId="288F1727" w:rsidR="006C595D" w:rsidRPr="009D3F0C" w:rsidRDefault="006C595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szCs w:val="22"/>
              </w:rPr>
              <w:t>CPCPDR4011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0956D917" w14:textId="77777777" w:rsidR="006C595D" w:rsidRPr="000D474C" w:rsidRDefault="006C595D" w:rsidP="006C595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szCs w:val="22"/>
              </w:rPr>
              <w:t>Design and size sanitary drainage systems</w:t>
            </w:r>
          </w:p>
        </w:tc>
      </w:tr>
      <w:tr w:rsidR="006C595D" w:rsidRPr="000D474C" w14:paraId="6683AA33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31B97A5C" w14:textId="15BC8258" w:rsidR="006C595D" w:rsidRPr="009D3F0C" w:rsidRDefault="006C595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szCs w:val="22"/>
              </w:rPr>
              <w:t>CPCPDR4012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3397ED9F" w14:textId="77777777" w:rsidR="006C595D" w:rsidRPr="000D474C" w:rsidRDefault="006C595D" w:rsidP="006C595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szCs w:val="22"/>
              </w:rPr>
              <w:t>Design and size stormwater drainage systems</w:t>
            </w:r>
          </w:p>
        </w:tc>
      </w:tr>
      <w:tr w:rsidR="006C595D" w:rsidRPr="000D474C" w14:paraId="50DBAFC2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642564A1" w14:textId="7BE12AC7" w:rsidR="006C595D" w:rsidRPr="009D3F0C" w:rsidRDefault="006C595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szCs w:val="22"/>
              </w:rPr>
              <w:t>CPCPGS4011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0992693B" w14:textId="5974D99A" w:rsidR="006C595D" w:rsidRPr="000D474C" w:rsidRDefault="006C595D" w:rsidP="006C595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szCs w:val="22"/>
              </w:rPr>
              <w:t xml:space="preserve">Design and size consumer gas installations </w:t>
            </w:r>
          </w:p>
        </w:tc>
      </w:tr>
      <w:tr w:rsidR="00FB39DD" w:rsidRPr="000D474C" w14:paraId="6E5812BE" w14:textId="77777777" w:rsidTr="00FB39DD">
        <w:trPr>
          <w:trHeight w:val="233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16F28F94" w14:textId="08331912" w:rsidR="00FB39DD" w:rsidRPr="009D3F0C" w:rsidRDefault="00FB39D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szCs w:val="22"/>
              </w:rPr>
              <w:t>CPCPSN4011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727ADC08" w14:textId="77777777" w:rsidR="00FB39DD" w:rsidRPr="000D474C" w:rsidRDefault="00FB39DD" w:rsidP="00FB39D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szCs w:val="22"/>
              </w:rPr>
              <w:t>Design and size sanitary plumbing systems</w:t>
            </w:r>
          </w:p>
        </w:tc>
      </w:tr>
      <w:tr w:rsidR="00FB39DD" w:rsidRPr="000D474C" w14:paraId="06A7B959" w14:textId="77777777" w:rsidTr="00FB39DD">
        <w:trPr>
          <w:trHeight w:val="20"/>
        </w:trPr>
        <w:tc>
          <w:tcPr>
            <w:tcW w:w="1684" w:type="dxa"/>
            <w:shd w:val="clear" w:color="000000" w:fill="FFFFFF"/>
            <w:vAlign w:val="center"/>
            <w:hideMark/>
          </w:tcPr>
          <w:p w14:paraId="43D3FC55" w14:textId="2B5575EC" w:rsidR="00FB39DD" w:rsidRPr="009D3F0C" w:rsidRDefault="00FB39DD" w:rsidP="009D3F0C">
            <w:pPr>
              <w:spacing w:line="276" w:lineRule="auto"/>
              <w:rPr>
                <w:color w:val="000000"/>
                <w:szCs w:val="22"/>
              </w:rPr>
            </w:pPr>
            <w:r w:rsidRPr="009D3F0C">
              <w:rPr>
                <w:szCs w:val="22"/>
              </w:rPr>
              <w:t>CPCPWT4011</w:t>
            </w:r>
          </w:p>
        </w:tc>
        <w:tc>
          <w:tcPr>
            <w:tcW w:w="7389" w:type="dxa"/>
            <w:shd w:val="clear" w:color="000000" w:fill="FFFFFF"/>
            <w:vAlign w:val="center"/>
            <w:hideMark/>
          </w:tcPr>
          <w:p w14:paraId="368425B7" w14:textId="77777777" w:rsidR="00FB39DD" w:rsidRPr="000D474C" w:rsidRDefault="00FB39DD" w:rsidP="00FB39DD">
            <w:pPr>
              <w:spacing w:line="276" w:lineRule="auto"/>
              <w:rPr>
                <w:color w:val="000000"/>
                <w:szCs w:val="22"/>
              </w:rPr>
            </w:pPr>
            <w:r w:rsidRPr="000D474C">
              <w:rPr>
                <w:szCs w:val="22"/>
              </w:rPr>
              <w:t>Design and size heated and cold-water services and systems</w:t>
            </w:r>
          </w:p>
        </w:tc>
      </w:tr>
    </w:tbl>
    <w:p w14:paraId="46EF1629" w14:textId="77777777" w:rsidR="00720B89" w:rsidRDefault="00720B89" w:rsidP="00AE719B">
      <w:pPr>
        <w:rPr>
          <w:rFonts w:cs="Calibri"/>
          <w:b/>
          <w:color w:val="000000" w:themeColor="text1"/>
        </w:rPr>
      </w:pPr>
    </w:p>
    <w:p w14:paraId="42FB83F3" w14:textId="0D8E6624" w:rsidR="006C595D" w:rsidRDefault="00FF5F73" w:rsidP="00AE719B">
      <w:pPr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Group A </w:t>
      </w:r>
    </w:p>
    <w:p w14:paraId="405B6E3C" w14:textId="77777777" w:rsidR="00720B89" w:rsidRDefault="00720B89" w:rsidP="00AE719B">
      <w:pPr>
        <w:rPr>
          <w:rFonts w:cs="Calibri"/>
          <w:b/>
          <w:color w:val="000000" w:themeColor="text1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3"/>
      </w:tblGrid>
      <w:tr w:rsidR="001A7A1F" w:rsidRPr="001A7A1F" w14:paraId="2DDD29D7" w14:textId="77777777" w:rsidTr="001113F1">
        <w:trPr>
          <w:trHeight w:val="20"/>
        </w:trPr>
        <w:tc>
          <w:tcPr>
            <w:tcW w:w="1701" w:type="dxa"/>
            <w:hideMark/>
          </w:tcPr>
          <w:p w14:paraId="5A06A881" w14:textId="77777777" w:rsidR="001A7A1F" w:rsidRPr="001A7A1F" w:rsidRDefault="001A7A1F" w:rsidP="009D3F0C">
            <w:r w:rsidRPr="001A7A1F">
              <w:t>BSBSMB402</w:t>
            </w:r>
          </w:p>
        </w:tc>
        <w:tc>
          <w:tcPr>
            <w:tcW w:w="7083" w:type="dxa"/>
            <w:hideMark/>
          </w:tcPr>
          <w:p w14:paraId="4C7B3641" w14:textId="77777777" w:rsidR="001A7A1F" w:rsidRPr="001A7A1F" w:rsidRDefault="001A7A1F" w:rsidP="001A7A1F">
            <w:r w:rsidRPr="001A7A1F">
              <w:t xml:space="preserve">Plan small business finances </w:t>
            </w:r>
          </w:p>
        </w:tc>
      </w:tr>
      <w:tr w:rsidR="001A7A1F" w:rsidRPr="001A7A1F" w14:paraId="0CA95771" w14:textId="77777777" w:rsidTr="001113F1">
        <w:trPr>
          <w:trHeight w:val="20"/>
        </w:trPr>
        <w:tc>
          <w:tcPr>
            <w:tcW w:w="1701" w:type="dxa"/>
            <w:hideMark/>
          </w:tcPr>
          <w:p w14:paraId="189AE8DC" w14:textId="77777777" w:rsidR="001A7A1F" w:rsidRPr="001A7A1F" w:rsidRDefault="001A7A1F" w:rsidP="009D3F0C">
            <w:r w:rsidRPr="001A7A1F">
              <w:t>CPCCBC4002</w:t>
            </w:r>
          </w:p>
        </w:tc>
        <w:tc>
          <w:tcPr>
            <w:tcW w:w="7083" w:type="dxa"/>
            <w:hideMark/>
          </w:tcPr>
          <w:p w14:paraId="09E40BE7" w14:textId="77777777" w:rsidR="001A7A1F" w:rsidRPr="001A7A1F" w:rsidRDefault="001A7A1F" w:rsidP="001A7A1F">
            <w:r w:rsidRPr="001A7A1F">
              <w:t>Manage work health and safety in the building and construction workplace</w:t>
            </w:r>
          </w:p>
        </w:tc>
      </w:tr>
      <w:tr w:rsidR="001A7A1F" w:rsidRPr="001A7A1F" w14:paraId="118F28A3" w14:textId="77777777" w:rsidTr="001113F1">
        <w:trPr>
          <w:trHeight w:val="20"/>
        </w:trPr>
        <w:tc>
          <w:tcPr>
            <w:tcW w:w="1701" w:type="dxa"/>
            <w:hideMark/>
          </w:tcPr>
          <w:p w14:paraId="578C3835" w14:textId="77777777" w:rsidR="001A7A1F" w:rsidRPr="001A7A1F" w:rsidRDefault="001A7A1F" w:rsidP="009D3F0C">
            <w:r w:rsidRPr="001A7A1F">
              <w:t xml:space="preserve">CPCCBC4019 </w:t>
            </w:r>
          </w:p>
        </w:tc>
        <w:tc>
          <w:tcPr>
            <w:tcW w:w="7083" w:type="dxa"/>
            <w:hideMark/>
          </w:tcPr>
          <w:p w14:paraId="39551EE6" w14:textId="77777777" w:rsidR="001A7A1F" w:rsidRPr="001A7A1F" w:rsidRDefault="001A7A1F" w:rsidP="001A7A1F">
            <w:r w:rsidRPr="001A7A1F">
              <w:t>Apply sustainable building design principles to water management systems</w:t>
            </w:r>
          </w:p>
        </w:tc>
      </w:tr>
      <w:tr w:rsidR="001113F1" w:rsidRPr="001A7A1F" w14:paraId="6BC580A0" w14:textId="77777777" w:rsidTr="001113F1">
        <w:trPr>
          <w:trHeight w:val="20"/>
        </w:trPr>
        <w:tc>
          <w:tcPr>
            <w:tcW w:w="1701" w:type="dxa"/>
            <w:hideMark/>
          </w:tcPr>
          <w:p w14:paraId="3C16A8D7" w14:textId="77777777" w:rsidR="001A7A1F" w:rsidRPr="001A7A1F" w:rsidRDefault="001A7A1F" w:rsidP="009D3F0C">
            <w:r w:rsidRPr="001A7A1F">
              <w:t>CPCCBC4024</w:t>
            </w:r>
          </w:p>
        </w:tc>
        <w:tc>
          <w:tcPr>
            <w:tcW w:w="7083" w:type="dxa"/>
            <w:hideMark/>
          </w:tcPr>
          <w:p w14:paraId="4C581FB7" w14:textId="77777777" w:rsidR="001A7A1F" w:rsidRPr="001A7A1F" w:rsidRDefault="001A7A1F" w:rsidP="001A7A1F">
            <w:r w:rsidRPr="001A7A1F">
              <w:t>Resolve business disputes</w:t>
            </w:r>
          </w:p>
        </w:tc>
      </w:tr>
      <w:tr w:rsidR="001A7A1F" w:rsidRPr="001A7A1F" w14:paraId="4C58626C" w14:textId="77777777" w:rsidTr="001113F1">
        <w:trPr>
          <w:trHeight w:val="20"/>
        </w:trPr>
        <w:tc>
          <w:tcPr>
            <w:tcW w:w="1701" w:type="dxa"/>
            <w:hideMark/>
          </w:tcPr>
          <w:p w14:paraId="12E46F77" w14:textId="77777777" w:rsidR="001A7A1F" w:rsidRPr="001A7A1F" w:rsidRDefault="001A7A1F" w:rsidP="009D3F0C">
            <w:r w:rsidRPr="001A7A1F">
              <w:t>CPCPCM4013</w:t>
            </w:r>
          </w:p>
        </w:tc>
        <w:tc>
          <w:tcPr>
            <w:tcW w:w="7083" w:type="dxa"/>
            <w:hideMark/>
          </w:tcPr>
          <w:p w14:paraId="6094ED17" w14:textId="77777777" w:rsidR="001A7A1F" w:rsidRPr="001A7A1F" w:rsidRDefault="001A7A1F" w:rsidP="001A7A1F">
            <w:r w:rsidRPr="001A7A1F">
              <w:t>Produce 2-D architectural drawings using design software</w:t>
            </w:r>
          </w:p>
        </w:tc>
      </w:tr>
      <w:tr w:rsidR="001113F1" w:rsidRPr="001A7A1F" w14:paraId="2924AE13" w14:textId="77777777" w:rsidTr="001113F1">
        <w:trPr>
          <w:trHeight w:val="20"/>
        </w:trPr>
        <w:tc>
          <w:tcPr>
            <w:tcW w:w="1701" w:type="dxa"/>
            <w:hideMark/>
          </w:tcPr>
          <w:p w14:paraId="75C4A59E" w14:textId="0899A2EC" w:rsidR="001A7A1F" w:rsidRPr="00472F33" w:rsidRDefault="001A7A1F" w:rsidP="009D3F0C">
            <w:r w:rsidRPr="00472F33">
              <w:t>CPCPDR4013</w:t>
            </w:r>
          </w:p>
        </w:tc>
        <w:tc>
          <w:tcPr>
            <w:tcW w:w="7083" w:type="dxa"/>
            <w:hideMark/>
          </w:tcPr>
          <w:p w14:paraId="14129D2E" w14:textId="77777777" w:rsidR="001A7A1F" w:rsidRPr="00472F33" w:rsidRDefault="001A7A1F" w:rsidP="001A7A1F">
            <w:r w:rsidRPr="00472F33">
              <w:t>Design and size domestic treatment plant disposal systems</w:t>
            </w:r>
          </w:p>
        </w:tc>
      </w:tr>
      <w:tr w:rsidR="001A7A1F" w:rsidRPr="001A7A1F" w14:paraId="13A7C47E" w14:textId="77777777" w:rsidTr="001113F1">
        <w:trPr>
          <w:trHeight w:val="20"/>
        </w:trPr>
        <w:tc>
          <w:tcPr>
            <w:tcW w:w="1701" w:type="dxa"/>
            <w:hideMark/>
          </w:tcPr>
          <w:p w14:paraId="7F36E9DD" w14:textId="145D7626" w:rsidR="001A7A1F" w:rsidRPr="00472F33" w:rsidRDefault="001A7A1F" w:rsidP="009D3F0C">
            <w:pPr>
              <w:rPr>
                <w:color w:val="000000" w:themeColor="text1"/>
              </w:rPr>
            </w:pPr>
            <w:r w:rsidRPr="00472F33">
              <w:rPr>
                <w:color w:val="000000" w:themeColor="text1"/>
              </w:rPr>
              <w:t>CPCP</w:t>
            </w:r>
            <w:r w:rsidR="00472F33" w:rsidRPr="00472F33">
              <w:rPr>
                <w:color w:val="000000" w:themeColor="text1"/>
              </w:rPr>
              <w:t>PS</w:t>
            </w:r>
            <w:r w:rsidRPr="00472F33">
              <w:rPr>
                <w:color w:val="000000" w:themeColor="text1"/>
              </w:rPr>
              <w:t>5033*</w:t>
            </w:r>
          </w:p>
        </w:tc>
        <w:tc>
          <w:tcPr>
            <w:tcW w:w="7083" w:type="dxa"/>
            <w:hideMark/>
          </w:tcPr>
          <w:p w14:paraId="78B6B0C1" w14:textId="713BF0FC" w:rsidR="001A7A1F" w:rsidRPr="00472F33" w:rsidRDefault="001A7A1F" w:rsidP="001A7A1F">
            <w:pPr>
              <w:rPr>
                <w:color w:val="000000" w:themeColor="text1"/>
              </w:rPr>
            </w:pPr>
            <w:r w:rsidRPr="00472F33">
              <w:rPr>
                <w:color w:val="000000" w:themeColor="text1"/>
              </w:rPr>
              <w:t>Design vacuum s</w:t>
            </w:r>
            <w:r w:rsidR="00472F33" w:rsidRPr="00472F33">
              <w:rPr>
                <w:color w:val="000000" w:themeColor="text1"/>
              </w:rPr>
              <w:t>ewerage</w:t>
            </w:r>
            <w:r w:rsidRPr="00472F33">
              <w:rPr>
                <w:color w:val="000000" w:themeColor="text1"/>
              </w:rPr>
              <w:t xml:space="preserve"> systems </w:t>
            </w:r>
          </w:p>
        </w:tc>
      </w:tr>
      <w:tr w:rsidR="001113F1" w:rsidRPr="001A7A1F" w14:paraId="14D19A99" w14:textId="77777777" w:rsidTr="001113F1">
        <w:trPr>
          <w:trHeight w:val="20"/>
        </w:trPr>
        <w:tc>
          <w:tcPr>
            <w:tcW w:w="1701" w:type="dxa"/>
            <w:hideMark/>
          </w:tcPr>
          <w:p w14:paraId="2629CA4D" w14:textId="77777777" w:rsidR="001A7A1F" w:rsidRPr="001A7A1F" w:rsidRDefault="001A7A1F" w:rsidP="009D3F0C">
            <w:r w:rsidRPr="001A7A1F">
              <w:t>CPCPFS4024*</w:t>
            </w:r>
          </w:p>
        </w:tc>
        <w:tc>
          <w:tcPr>
            <w:tcW w:w="7083" w:type="dxa"/>
            <w:hideMark/>
          </w:tcPr>
          <w:p w14:paraId="2C42AC1D" w14:textId="77777777" w:rsidR="001A7A1F" w:rsidRPr="001A7A1F" w:rsidRDefault="001A7A1F" w:rsidP="001A7A1F">
            <w:r w:rsidRPr="001A7A1F">
              <w:t>Design residential fire sprinkler systems</w:t>
            </w:r>
          </w:p>
        </w:tc>
      </w:tr>
      <w:tr w:rsidR="001A7A1F" w:rsidRPr="001A7A1F" w14:paraId="60EDEDF1" w14:textId="77777777" w:rsidTr="001113F1">
        <w:trPr>
          <w:trHeight w:val="20"/>
        </w:trPr>
        <w:tc>
          <w:tcPr>
            <w:tcW w:w="1701" w:type="dxa"/>
            <w:hideMark/>
          </w:tcPr>
          <w:p w14:paraId="48248CB0" w14:textId="090BF674" w:rsidR="001A7A1F" w:rsidRPr="001A7A1F" w:rsidRDefault="001A7A1F" w:rsidP="009D3F0C">
            <w:r w:rsidRPr="001A7A1F">
              <w:t>CPCPMS4011</w:t>
            </w:r>
          </w:p>
        </w:tc>
        <w:tc>
          <w:tcPr>
            <w:tcW w:w="7083" w:type="dxa"/>
            <w:hideMark/>
          </w:tcPr>
          <w:p w14:paraId="3D36231D" w14:textId="77777777" w:rsidR="001A7A1F" w:rsidRPr="001A7A1F" w:rsidRDefault="001A7A1F" w:rsidP="001A7A1F">
            <w:r w:rsidRPr="001A7A1F">
              <w:t>Design, size and lay out heating and cooling systems</w:t>
            </w:r>
          </w:p>
        </w:tc>
      </w:tr>
      <w:tr w:rsidR="001113F1" w:rsidRPr="001A7A1F" w14:paraId="3C74E6D8" w14:textId="77777777" w:rsidTr="001113F1">
        <w:trPr>
          <w:trHeight w:val="20"/>
        </w:trPr>
        <w:tc>
          <w:tcPr>
            <w:tcW w:w="1701" w:type="dxa"/>
            <w:hideMark/>
          </w:tcPr>
          <w:p w14:paraId="22CE31A9" w14:textId="77777777" w:rsidR="001A7A1F" w:rsidRPr="001A7A1F" w:rsidRDefault="001A7A1F" w:rsidP="009D3F0C">
            <w:r w:rsidRPr="001A7A1F">
              <w:t>CPCPMS4023</w:t>
            </w:r>
          </w:p>
        </w:tc>
        <w:tc>
          <w:tcPr>
            <w:tcW w:w="7083" w:type="dxa"/>
            <w:hideMark/>
          </w:tcPr>
          <w:p w14:paraId="5B53E494" w14:textId="77777777" w:rsidR="001A7A1F" w:rsidRPr="001A7A1F" w:rsidRDefault="001A7A1F" w:rsidP="001A7A1F">
            <w:r w:rsidRPr="001A7A1F">
              <w:t>Design compressed air systems</w:t>
            </w:r>
          </w:p>
        </w:tc>
      </w:tr>
      <w:tr w:rsidR="001A7A1F" w:rsidRPr="001A7A1F" w14:paraId="037E9C1F" w14:textId="77777777" w:rsidTr="001113F1">
        <w:trPr>
          <w:trHeight w:val="20"/>
        </w:trPr>
        <w:tc>
          <w:tcPr>
            <w:tcW w:w="1701" w:type="dxa"/>
            <w:hideMark/>
          </w:tcPr>
          <w:p w14:paraId="6BC8C794" w14:textId="2AFA74E4" w:rsidR="001A7A1F" w:rsidRPr="001A7A1F" w:rsidRDefault="001A7A1F" w:rsidP="009D3F0C">
            <w:r w:rsidRPr="001A7A1F">
              <w:t>CPCPRF4011</w:t>
            </w:r>
          </w:p>
        </w:tc>
        <w:tc>
          <w:tcPr>
            <w:tcW w:w="7083" w:type="dxa"/>
            <w:hideMark/>
          </w:tcPr>
          <w:p w14:paraId="109D742D" w14:textId="77777777" w:rsidR="001A7A1F" w:rsidRPr="001A7A1F" w:rsidRDefault="001A7A1F" w:rsidP="001A7A1F">
            <w:r w:rsidRPr="001A7A1F">
              <w:t>Design and size roof drainage systems</w:t>
            </w:r>
          </w:p>
        </w:tc>
      </w:tr>
    </w:tbl>
    <w:p w14:paraId="4D36A2C2" w14:textId="77777777" w:rsidR="006C595D" w:rsidRPr="00851BF0" w:rsidRDefault="006C595D" w:rsidP="00AE719B">
      <w:pPr>
        <w:rPr>
          <w:rFonts w:cs="Calibri"/>
          <w:b/>
          <w:color w:val="000000" w:themeColor="text1"/>
        </w:rPr>
      </w:pPr>
    </w:p>
    <w:p w14:paraId="66158306" w14:textId="2AF12E93" w:rsidR="008448F6" w:rsidRDefault="00FF5F73" w:rsidP="00AE719B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 xml:space="preserve">Group B </w:t>
      </w:r>
    </w:p>
    <w:tbl>
      <w:tblPr>
        <w:tblStyle w:val="TableGrid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498"/>
      </w:tblGrid>
      <w:tr w:rsidR="00472F33" w:rsidRPr="006C6318" w14:paraId="0CE2E425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55A0C8E1" w14:textId="77777777" w:rsidR="00472F33" w:rsidRPr="00472F33" w:rsidRDefault="00472F33" w:rsidP="00472F33">
            <w:pPr>
              <w:pStyle w:val="CommentText"/>
              <w:rPr>
                <w:color w:val="000000" w:themeColor="text1"/>
                <w:sz w:val="22"/>
                <w:szCs w:val="22"/>
              </w:rPr>
            </w:pPr>
            <w:r w:rsidRPr="00472F33">
              <w:rPr>
                <w:color w:val="000000" w:themeColor="text1"/>
                <w:sz w:val="22"/>
                <w:szCs w:val="22"/>
              </w:rPr>
              <w:t>CPCPCM2043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14474305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</w:rPr>
              <w:t>Carry out WHS requirements</w:t>
            </w:r>
          </w:p>
        </w:tc>
      </w:tr>
      <w:tr w:rsidR="00472F33" w:rsidRPr="006C6318" w14:paraId="764EDD2B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7757244C" w14:textId="388AC0DE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CPCPDR30</w:t>
            </w:r>
            <w:r>
              <w:rPr>
                <w:color w:val="000000" w:themeColor="text1"/>
                <w:szCs w:val="22"/>
                <w:lang w:val="en-GB"/>
              </w:rPr>
              <w:t>23</w:t>
            </w:r>
            <w:r w:rsidRPr="00472F33">
              <w:rPr>
                <w:color w:val="000000" w:themeColor="text1"/>
                <w:szCs w:val="22"/>
                <w:lang w:val="en-GB"/>
              </w:rPr>
              <w:t>*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6518750A" w14:textId="25D4DDA4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0F2753">
              <w:rPr>
                <w:color w:val="000000"/>
                <w:lang w:eastAsia="en-AU"/>
              </w:rPr>
              <w:t>Install on-site domestic wastewater treatment plants and disposal systems</w:t>
            </w:r>
          </w:p>
        </w:tc>
      </w:tr>
      <w:tr w:rsidR="00472F33" w:rsidRPr="006C6318" w14:paraId="74E20F00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4A87A0F9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</w:rPr>
              <w:t xml:space="preserve">CPCPFS3037* 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50374F17" w14:textId="2BC4AC79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</w:rPr>
              <w:t xml:space="preserve">Install residential life safety sprinkler systems </w:t>
            </w:r>
          </w:p>
        </w:tc>
      </w:tr>
      <w:tr w:rsidR="00472F33" w:rsidRPr="006C6318" w14:paraId="1415423C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1F66778D" w14:textId="0196D3A4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CPCPFS4021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39051C23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Commission domestic and residential fire suppression sprinkler systems</w:t>
            </w:r>
          </w:p>
        </w:tc>
      </w:tr>
      <w:tr w:rsidR="00472F33" w:rsidRPr="006C6318" w14:paraId="1AF2CC17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0E9AB145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</w:rPr>
              <w:lastRenderedPageBreak/>
              <w:t xml:space="preserve">CPCPGS3053 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5F8F63C1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</w:rPr>
              <w:t>Disconnect and reconnect Type A gas appliances</w:t>
            </w:r>
          </w:p>
        </w:tc>
      </w:tr>
      <w:tr w:rsidR="00472F33" w:rsidRPr="006C6318" w14:paraId="47DCD566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6F8C5430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CPCPGS4022*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75869A5D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Service Type A gas appliances</w:t>
            </w:r>
          </w:p>
        </w:tc>
      </w:tr>
      <w:tr w:rsidR="00472F33" w:rsidRPr="006C6318" w14:paraId="31C41585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7DF38E61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CPCPGS4023*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03AA27C3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Install, commission and service Type B gas appliances</w:t>
            </w:r>
          </w:p>
        </w:tc>
      </w:tr>
      <w:tr w:rsidR="00472F33" w:rsidRPr="006C6318" w14:paraId="35D47351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4A7A5333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CPCPMS4022*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51D6BB18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Commission air and water systems</w:t>
            </w:r>
          </w:p>
        </w:tc>
      </w:tr>
      <w:tr w:rsidR="00472F33" w:rsidRPr="006C6318" w14:paraId="7A0E1B72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3258BDF9" w14:textId="77777777" w:rsidR="00472F33" w:rsidRPr="00472F33" w:rsidRDefault="00472F33" w:rsidP="009D3F0C">
            <w:pPr>
              <w:rPr>
                <w:color w:val="000000" w:themeColor="text1"/>
              </w:rPr>
            </w:pPr>
            <w:r w:rsidRPr="00472F33">
              <w:rPr>
                <w:color w:val="000000" w:themeColor="text1"/>
              </w:rPr>
              <w:t xml:space="preserve">CPCPWT3022* 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117CC13E" w14:textId="77777777" w:rsidR="00472F33" w:rsidRPr="00472F33" w:rsidRDefault="00472F33" w:rsidP="009D3F0C">
            <w:pPr>
              <w:rPr>
                <w:color w:val="000000" w:themeColor="text1"/>
              </w:rPr>
            </w:pPr>
            <w:r w:rsidRPr="00472F33">
              <w:rPr>
                <w:color w:val="000000" w:themeColor="text1"/>
              </w:rPr>
              <w:t>Install and commission water heating systems and adjust controls and devices</w:t>
            </w:r>
          </w:p>
        </w:tc>
      </w:tr>
      <w:tr w:rsidR="00472F33" w:rsidRPr="006C6318" w14:paraId="1255A3D2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0A3FDFE6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</w:rPr>
              <w:t xml:space="preserve">CPCPWT3027* 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4F7D3B38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</w:rPr>
              <w:t>Connect irrigation systems from drinking water service</w:t>
            </w:r>
          </w:p>
        </w:tc>
      </w:tr>
      <w:tr w:rsidR="00472F33" w:rsidRPr="00AD54A7" w14:paraId="76A02C2B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7A7A65E9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CPCPWT4022*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44A48571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Commission and maintain backflow prevention devices</w:t>
            </w:r>
          </w:p>
        </w:tc>
      </w:tr>
      <w:tr w:rsidR="00472F33" w:rsidRPr="00AD54A7" w14:paraId="67360E58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79CB71F1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CPCPWT4023*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0CDF225D" w14:textId="1903FA9B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 xml:space="preserve">Test, </w:t>
            </w:r>
            <w:r w:rsidR="001857A9">
              <w:rPr>
                <w:color w:val="000000" w:themeColor="text1"/>
                <w:szCs w:val="22"/>
                <w:lang w:val="en-GB"/>
              </w:rPr>
              <w:t>c</w:t>
            </w:r>
            <w:r w:rsidR="001857A9" w:rsidRPr="00472F33">
              <w:rPr>
                <w:color w:val="000000" w:themeColor="text1"/>
                <w:szCs w:val="22"/>
                <w:lang w:val="en-GB"/>
              </w:rPr>
              <w:t xml:space="preserve">ommission </w:t>
            </w:r>
            <w:r w:rsidRPr="00472F33">
              <w:rPr>
                <w:color w:val="000000" w:themeColor="text1"/>
                <w:szCs w:val="22"/>
                <w:lang w:val="en-GB"/>
              </w:rPr>
              <w:t xml:space="preserve">and maintain hot and heated water temperature control devices </w:t>
            </w:r>
          </w:p>
        </w:tc>
      </w:tr>
      <w:tr w:rsidR="00472F33" w:rsidRPr="006C6318" w14:paraId="5A47F423" w14:textId="77777777" w:rsidTr="00472F33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14:paraId="1FD12787" w14:textId="2B383749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UEENEEP012A</w:t>
            </w:r>
          </w:p>
        </w:tc>
        <w:tc>
          <w:tcPr>
            <w:tcW w:w="7498" w:type="dxa"/>
            <w:shd w:val="clear" w:color="auto" w:fill="auto"/>
            <w:vAlign w:val="center"/>
          </w:tcPr>
          <w:p w14:paraId="35E62C8D" w14:textId="77777777" w:rsidR="00472F33" w:rsidRPr="00472F33" w:rsidRDefault="00472F33" w:rsidP="009D3F0C">
            <w:pPr>
              <w:rPr>
                <w:color w:val="000000" w:themeColor="text1"/>
                <w:szCs w:val="22"/>
                <w:lang w:val="en-GB"/>
              </w:rPr>
            </w:pPr>
            <w:r w:rsidRPr="00472F33">
              <w:rPr>
                <w:color w:val="000000" w:themeColor="text1"/>
                <w:szCs w:val="22"/>
                <w:lang w:val="en-GB"/>
              </w:rPr>
              <w:t>Disconnect / reconnect composite appliances connected to low voltage installation wiring </w:t>
            </w:r>
          </w:p>
        </w:tc>
      </w:tr>
    </w:tbl>
    <w:p w14:paraId="5EDCC1A4" w14:textId="20C71563" w:rsidR="00D908F6" w:rsidRDefault="00D908F6" w:rsidP="00851BF0">
      <w:pPr>
        <w:rPr>
          <w:rFonts w:cs="Calibri"/>
          <w:color w:val="000000" w:themeColor="text1"/>
        </w:rPr>
      </w:pPr>
    </w:p>
    <w:p w14:paraId="43BEB835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415F80AB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06ADA5F2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4EC3DC7A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8448F6">
              <w:rPr>
                <w:rFonts w:cs="Calibri"/>
                <w:b/>
                <w:color w:val="000000" w:themeColor="text1"/>
              </w:rPr>
              <w:t>C08</w:t>
            </w:r>
            <w:r w:rsidRPr="00851BF0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4AEE0A90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1B951551" w14:textId="6FB2E0C8" w:rsidR="00851BF0" w:rsidRPr="00851BF0" w:rsidRDefault="00D908F6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6D6F545B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07D7FB76" w14:textId="03B02944" w:rsidR="00173306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CPC</w:t>
            </w:r>
            <w:r w:rsidR="00AB2316">
              <w:rPr>
                <w:rFonts w:cs="Calibri"/>
                <w:color w:val="000000" w:themeColor="text1"/>
                <w:lang w:eastAsia="en-AU"/>
              </w:rPr>
              <w:t>4</w:t>
            </w:r>
            <w:r w:rsidR="000D474C">
              <w:rPr>
                <w:rFonts w:cs="Calibri"/>
                <w:color w:val="000000" w:themeColor="text1"/>
                <w:lang w:eastAsia="en-AU"/>
              </w:rPr>
              <w:t>09</w:t>
            </w:r>
            <w:r w:rsidR="00E83DB4">
              <w:rPr>
                <w:rFonts w:cs="Calibri"/>
                <w:color w:val="000000" w:themeColor="text1"/>
                <w:lang w:eastAsia="en-AU"/>
              </w:rPr>
              <w:t>20</w:t>
            </w:r>
          </w:p>
          <w:p w14:paraId="03D6A175" w14:textId="77777777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Certificate I</w:t>
            </w:r>
            <w:r w:rsidR="00AB2316">
              <w:rPr>
                <w:rFonts w:cs="Calibri"/>
                <w:color w:val="000000" w:themeColor="text1"/>
                <w:lang w:eastAsia="en-AU"/>
              </w:rPr>
              <w:t>V in Plumbing and Services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5BFCB2D6" w14:textId="77777777" w:rsidR="008448F6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CPC</w:t>
            </w:r>
            <w:r w:rsidR="00AB2316">
              <w:rPr>
                <w:rFonts w:cs="Calibri"/>
                <w:color w:val="000000" w:themeColor="text1"/>
              </w:rPr>
              <w:t>40912</w:t>
            </w:r>
          </w:p>
          <w:p w14:paraId="08659177" w14:textId="77777777" w:rsidR="00851BF0" w:rsidRPr="00851BF0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Certificate </w:t>
            </w:r>
            <w:r w:rsidR="00AB2316">
              <w:rPr>
                <w:rFonts w:cs="Calibri"/>
                <w:color w:val="000000" w:themeColor="text1"/>
              </w:rPr>
              <w:t>IV in Plumbing and Services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B8A2DEA" w14:textId="3406C3E1" w:rsidR="00851BF0" w:rsidRPr="00851BF0" w:rsidRDefault="00AD54A7" w:rsidP="000D474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Super</w:t>
            </w:r>
            <w:r w:rsidR="00E83DB4">
              <w:rPr>
                <w:rFonts w:cs="Calibri"/>
                <w:color w:val="000000" w:themeColor="text1"/>
              </w:rPr>
              <w:t>sedes and is no</w:t>
            </w:r>
            <w:r w:rsidR="00D545B3">
              <w:rPr>
                <w:rFonts w:cs="Calibri"/>
                <w:color w:val="000000" w:themeColor="text1"/>
              </w:rPr>
              <w:t>n</w:t>
            </w:r>
            <w:r w:rsidR="00E83DB4">
              <w:rPr>
                <w:rFonts w:cs="Calibri"/>
                <w:color w:val="000000" w:themeColor="text1"/>
              </w:rPr>
              <w:t>-</w:t>
            </w:r>
            <w:r w:rsidR="00D545B3">
              <w:rPr>
                <w:rFonts w:cs="Calibri"/>
                <w:color w:val="000000" w:themeColor="text1"/>
              </w:rPr>
              <w:t>e</w:t>
            </w:r>
            <w:r w:rsidR="00E83DB4">
              <w:rPr>
                <w:rFonts w:cs="Calibri"/>
                <w:color w:val="000000" w:themeColor="text1"/>
              </w:rPr>
              <w:t>quivalent to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="000D474C">
              <w:rPr>
                <w:rFonts w:cs="Calibri"/>
                <w:color w:val="000000" w:themeColor="text1"/>
              </w:rPr>
              <w:t>CPC40912</w:t>
            </w:r>
            <w:r w:rsidR="007A230E">
              <w:rPr>
                <w:rFonts w:cs="Calibri"/>
                <w:color w:val="000000" w:themeColor="text1"/>
              </w:rPr>
              <w:t xml:space="preserve"> </w:t>
            </w:r>
            <w:r w:rsidR="000D474C">
              <w:rPr>
                <w:rFonts w:cs="Calibri"/>
                <w:color w:val="000000" w:themeColor="text1"/>
              </w:rPr>
              <w:t>Certificate IV in Plumbing and Services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F103FE0" w14:textId="564CF4A9" w:rsidR="00851BF0" w:rsidRPr="00851BF0" w:rsidRDefault="00AD54A7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N</w:t>
            </w:r>
          </w:p>
        </w:tc>
      </w:tr>
    </w:tbl>
    <w:p w14:paraId="63041B0C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2F8E7C18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083B6B4E" w14:textId="77777777" w:rsidR="00851BF0" w:rsidRPr="00851BF0" w:rsidRDefault="00851BF0" w:rsidP="00851BF0">
      <w:pPr>
        <w:rPr>
          <w:b/>
        </w:rPr>
      </w:pPr>
    </w:p>
    <w:p w14:paraId="6A9046DB" w14:textId="74B1FA23" w:rsidR="00D120A2" w:rsidRDefault="00851BF0" w:rsidP="00D120A2">
      <w:pPr>
        <w:rPr>
          <w:rFonts w:cs="Calibri"/>
          <w:color w:val="000000" w:themeColor="text1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  <w:r w:rsidR="008448F6">
        <w:rPr>
          <w:rFonts w:cs="Calibri"/>
          <w:color w:val="000000" w:themeColor="text1"/>
        </w:rPr>
        <w:t xml:space="preserve"> </w:t>
      </w:r>
    </w:p>
    <w:p w14:paraId="6AD5F4BE" w14:textId="2D1B09BF" w:rsidR="00D908F6" w:rsidRDefault="00D908F6" w:rsidP="00D120A2">
      <w:pPr>
        <w:rPr>
          <w:rFonts w:cs="Calibri"/>
          <w:color w:val="000000" w:themeColor="text1"/>
        </w:rPr>
      </w:pPr>
    </w:p>
    <w:p w14:paraId="3577A5B6" w14:textId="77777777" w:rsidR="00D908F6" w:rsidRPr="00CC0B26" w:rsidRDefault="00090943" w:rsidP="00D908F6">
      <w:pPr>
        <w:rPr>
          <w:rFonts w:eastAsia="Yu Gothic Light"/>
          <w:b/>
          <w:sz w:val="32"/>
          <w:szCs w:val="26"/>
        </w:rPr>
      </w:pPr>
      <w:hyperlink r:id="rId8" w:history="1">
        <w:r w:rsidR="00D908F6" w:rsidRPr="00DA329C">
          <w:rPr>
            <w:rStyle w:val="Hyperlink"/>
          </w:rPr>
          <w:t>https://vetnet.education.gov.au/Pages/TrainingDocs.aspx?q=7e15fa6a-68b8-4097-b099-030a5569b1ad</w:t>
        </w:r>
      </w:hyperlink>
    </w:p>
    <w:p w14:paraId="0151AD72" w14:textId="21CCEBCC" w:rsidR="00D908F6" w:rsidRDefault="00D908F6" w:rsidP="00D120A2">
      <w:pPr>
        <w:rPr>
          <w:rFonts w:cs="Calibri"/>
        </w:rPr>
      </w:pPr>
    </w:p>
    <w:p w14:paraId="6573880D" w14:textId="1C373949" w:rsidR="00720B89" w:rsidRDefault="00720B89" w:rsidP="00D120A2">
      <w:pPr>
        <w:rPr>
          <w:rFonts w:cs="Calibri"/>
        </w:rPr>
      </w:pPr>
    </w:p>
    <w:p w14:paraId="0D9D61D7" w14:textId="77777777" w:rsidR="00720B89" w:rsidRPr="000E66CD" w:rsidRDefault="00720B89" w:rsidP="00D120A2">
      <w:pPr>
        <w:rPr>
          <w:rFonts w:cs="Calibri"/>
        </w:rPr>
      </w:pPr>
    </w:p>
    <w:sectPr w:rsidR="00720B89" w:rsidRPr="000E66CD" w:rsidSect="00100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181CD" w14:textId="77777777" w:rsidR="00090943" w:rsidRDefault="00090943">
      <w:r>
        <w:separator/>
      </w:r>
    </w:p>
  </w:endnote>
  <w:endnote w:type="continuationSeparator" w:id="0">
    <w:p w14:paraId="7E219F09" w14:textId="77777777" w:rsidR="00090943" w:rsidRDefault="0009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2144" w14:textId="77777777" w:rsidR="000B788E" w:rsidRDefault="000B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03E09D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3DCCD2DC" w14:textId="24F9173C" w:rsidR="00866AAA" w:rsidRDefault="00090943" w:rsidP="00F81562">
            <w:pPr>
              <w:pStyle w:val="Footer"/>
            </w:pPr>
          </w:p>
        </w:sdtContent>
      </w:sdt>
    </w:sdtContent>
  </w:sdt>
  <w:p w14:paraId="75C20401" w14:textId="77777777" w:rsidR="00866AAA" w:rsidRDefault="00090943" w:rsidP="00F8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917F" w14:textId="77777777" w:rsidR="000B788E" w:rsidRDefault="000B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2578" w14:textId="77777777" w:rsidR="00090943" w:rsidRDefault="00090943">
      <w:r>
        <w:separator/>
      </w:r>
    </w:p>
  </w:footnote>
  <w:footnote w:type="continuationSeparator" w:id="0">
    <w:p w14:paraId="031C54E6" w14:textId="77777777" w:rsidR="00090943" w:rsidRDefault="0009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191C" w14:textId="724F5E68" w:rsidR="00CB46ED" w:rsidRDefault="00CB4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69EB" w14:textId="69E5A966" w:rsidR="00A664BF" w:rsidRDefault="00090943" w:rsidP="00F81562">
    <w:pPr>
      <w:pStyle w:val="Header"/>
    </w:pPr>
  </w:p>
  <w:p w14:paraId="555E15C4" w14:textId="77777777" w:rsidR="00992786" w:rsidRPr="008722DF" w:rsidRDefault="00090943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CD9F8" w14:textId="31A717F8" w:rsidR="00CB46ED" w:rsidRDefault="00CB4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B6DAB"/>
    <w:multiLevelType w:val="hybridMultilevel"/>
    <w:tmpl w:val="DB32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3260"/>
    <w:multiLevelType w:val="hybridMultilevel"/>
    <w:tmpl w:val="2F368FBE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16D56"/>
    <w:multiLevelType w:val="hybridMultilevel"/>
    <w:tmpl w:val="ADF6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437F0"/>
    <w:multiLevelType w:val="hybridMultilevel"/>
    <w:tmpl w:val="C1045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55E50"/>
    <w:multiLevelType w:val="hybridMultilevel"/>
    <w:tmpl w:val="B55C3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7235"/>
    <w:multiLevelType w:val="hybridMultilevel"/>
    <w:tmpl w:val="729A0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F9B"/>
    <w:multiLevelType w:val="hybridMultilevel"/>
    <w:tmpl w:val="5394A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4EA"/>
    <w:multiLevelType w:val="hybridMultilevel"/>
    <w:tmpl w:val="D75A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6038"/>
    <w:multiLevelType w:val="hybridMultilevel"/>
    <w:tmpl w:val="FFE6B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25"/>
  </w:num>
  <w:num w:numId="5">
    <w:abstractNumId w:val="4"/>
  </w:num>
  <w:num w:numId="6">
    <w:abstractNumId w:val="3"/>
  </w:num>
  <w:num w:numId="7">
    <w:abstractNumId w:val="26"/>
  </w:num>
  <w:num w:numId="8">
    <w:abstractNumId w:val="23"/>
  </w:num>
  <w:num w:numId="9">
    <w:abstractNumId w:val="24"/>
  </w:num>
  <w:num w:numId="10">
    <w:abstractNumId w:val="7"/>
  </w:num>
  <w:num w:numId="11">
    <w:abstractNumId w:val="6"/>
  </w:num>
  <w:num w:numId="12">
    <w:abstractNumId w:val="9"/>
  </w:num>
  <w:num w:numId="13">
    <w:abstractNumId w:val="18"/>
  </w:num>
  <w:num w:numId="14">
    <w:abstractNumId w:val="2"/>
  </w:num>
  <w:num w:numId="15">
    <w:abstractNumId w:val="16"/>
  </w:num>
  <w:num w:numId="16">
    <w:abstractNumId w:val="1"/>
  </w:num>
  <w:num w:numId="17">
    <w:abstractNumId w:val="8"/>
  </w:num>
  <w:num w:numId="18">
    <w:abstractNumId w:val="10"/>
  </w:num>
  <w:num w:numId="19">
    <w:abstractNumId w:val="0"/>
  </w:num>
  <w:num w:numId="20">
    <w:abstractNumId w:val="14"/>
  </w:num>
  <w:num w:numId="21">
    <w:abstractNumId w:val="5"/>
  </w:num>
  <w:num w:numId="22">
    <w:abstractNumId w:val="20"/>
  </w:num>
  <w:num w:numId="23">
    <w:abstractNumId w:val="13"/>
  </w:num>
  <w:num w:numId="24">
    <w:abstractNumId w:val="12"/>
  </w:num>
  <w:num w:numId="25">
    <w:abstractNumId w:val="19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047FA"/>
    <w:rsid w:val="00034BDA"/>
    <w:rsid w:val="000465E0"/>
    <w:rsid w:val="00076A2D"/>
    <w:rsid w:val="00081D7E"/>
    <w:rsid w:val="00090943"/>
    <w:rsid w:val="00092E71"/>
    <w:rsid w:val="000A2BE9"/>
    <w:rsid w:val="000A3810"/>
    <w:rsid w:val="000A43CB"/>
    <w:rsid w:val="000A767F"/>
    <w:rsid w:val="000B788E"/>
    <w:rsid w:val="000D474C"/>
    <w:rsid w:val="000E0D2C"/>
    <w:rsid w:val="000E66CD"/>
    <w:rsid w:val="000F2317"/>
    <w:rsid w:val="000F27E7"/>
    <w:rsid w:val="0010551A"/>
    <w:rsid w:val="001113F1"/>
    <w:rsid w:val="00131019"/>
    <w:rsid w:val="001515EE"/>
    <w:rsid w:val="00160E78"/>
    <w:rsid w:val="00166CF4"/>
    <w:rsid w:val="00170AE9"/>
    <w:rsid w:val="00172FAE"/>
    <w:rsid w:val="00173306"/>
    <w:rsid w:val="001847BC"/>
    <w:rsid w:val="001857A9"/>
    <w:rsid w:val="00185C0F"/>
    <w:rsid w:val="00187CE8"/>
    <w:rsid w:val="00192FDA"/>
    <w:rsid w:val="001A27D8"/>
    <w:rsid w:val="001A2875"/>
    <w:rsid w:val="001A3942"/>
    <w:rsid w:val="001A7A1F"/>
    <w:rsid w:val="001C1C46"/>
    <w:rsid w:val="001D636D"/>
    <w:rsid w:val="001D675B"/>
    <w:rsid w:val="001D6DD8"/>
    <w:rsid w:val="001D6F57"/>
    <w:rsid w:val="001F6E2F"/>
    <w:rsid w:val="00205AE8"/>
    <w:rsid w:val="00261826"/>
    <w:rsid w:val="002667CB"/>
    <w:rsid w:val="00284E67"/>
    <w:rsid w:val="002923C9"/>
    <w:rsid w:val="002A1BB6"/>
    <w:rsid w:val="002D359B"/>
    <w:rsid w:val="00330CC0"/>
    <w:rsid w:val="00352BC8"/>
    <w:rsid w:val="00373A63"/>
    <w:rsid w:val="003A06CA"/>
    <w:rsid w:val="003A4E82"/>
    <w:rsid w:val="003B73F7"/>
    <w:rsid w:val="003D6689"/>
    <w:rsid w:val="00431AE7"/>
    <w:rsid w:val="0045710F"/>
    <w:rsid w:val="0046169F"/>
    <w:rsid w:val="00472F33"/>
    <w:rsid w:val="004828A7"/>
    <w:rsid w:val="004D182E"/>
    <w:rsid w:val="004D64D4"/>
    <w:rsid w:val="00520116"/>
    <w:rsid w:val="0052100C"/>
    <w:rsid w:val="00540D9F"/>
    <w:rsid w:val="00550D37"/>
    <w:rsid w:val="00565C0B"/>
    <w:rsid w:val="00596E08"/>
    <w:rsid w:val="005B5716"/>
    <w:rsid w:val="005C63CD"/>
    <w:rsid w:val="00630269"/>
    <w:rsid w:val="00644B8E"/>
    <w:rsid w:val="0064680D"/>
    <w:rsid w:val="00662B10"/>
    <w:rsid w:val="00672F3A"/>
    <w:rsid w:val="00695987"/>
    <w:rsid w:val="006A2EEC"/>
    <w:rsid w:val="006A3447"/>
    <w:rsid w:val="006A34F4"/>
    <w:rsid w:val="006B2789"/>
    <w:rsid w:val="006B5C77"/>
    <w:rsid w:val="006C1988"/>
    <w:rsid w:val="006C595D"/>
    <w:rsid w:val="006C6318"/>
    <w:rsid w:val="006D0DAE"/>
    <w:rsid w:val="006E7A3B"/>
    <w:rsid w:val="006F633B"/>
    <w:rsid w:val="00717B1C"/>
    <w:rsid w:val="00720B89"/>
    <w:rsid w:val="00723B95"/>
    <w:rsid w:val="00736C2C"/>
    <w:rsid w:val="00757920"/>
    <w:rsid w:val="00770ED4"/>
    <w:rsid w:val="007966A7"/>
    <w:rsid w:val="007A230E"/>
    <w:rsid w:val="007A4630"/>
    <w:rsid w:val="007B1B09"/>
    <w:rsid w:val="007C088B"/>
    <w:rsid w:val="007D7BBF"/>
    <w:rsid w:val="00801632"/>
    <w:rsid w:val="00804A03"/>
    <w:rsid w:val="00806CBF"/>
    <w:rsid w:val="00816638"/>
    <w:rsid w:val="00824AF5"/>
    <w:rsid w:val="00836499"/>
    <w:rsid w:val="008448F6"/>
    <w:rsid w:val="00851BF0"/>
    <w:rsid w:val="00866CEF"/>
    <w:rsid w:val="008B7086"/>
    <w:rsid w:val="008C6791"/>
    <w:rsid w:val="008D60B9"/>
    <w:rsid w:val="00903991"/>
    <w:rsid w:val="0090681F"/>
    <w:rsid w:val="00907EC5"/>
    <w:rsid w:val="0092423E"/>
    <w:rsid w:val="00930EC9"/>
    <w:rsid w:val="00937F41"/>
    <w:rsid w:val="00951EBA"/>
    <w:rsid w:val="00972F6C"/>
    <w:rsid w:val="009958EE"/>
    <w:rsid w:val="009A5E08"/>
    <w:rsid w:val="009C577C"/>
    <w:rsid w:val="009C5E14"/>
    <w:rsid w:val="009D3F0C"/>
    <w:rsid w:val="009F37FB"/>
    <w:rsid w:val="00A02A6D"/>
    <w:rsid w:val="00A12D40"/>
    <w:rsid w:val="00A14F30"/>
    <w:rsid w:val="00A16CF4"/>
    <w:rsid w:val="00A2647D"/>
    <w:rsid w:val="00A26E53"/>
    <w:rsid w:val="00A50699"/>
    <w:rsid w:val="00A54176"/>
    <w:rsid w:val="00A67C04"/>
    <w:rsid w:val="00AA61CC"/>
    <w:rsid w:val="00AB2316"/>
    <w:rsid w:val="00AB4BBB"/>
    <w:rsid w:val="00AC3E25"/>
    <w:rsid w:val="00AD384A"/>
    <w:rsid w:val="00AD54A7"/>
    <w:rsid w:val="00AE419F"/>
    <w:rsid w:val="00AE719B"/>
    <w:rsid w:val="00AF7F79"/>
    <w:rsid w:val="00B01148"/>
    <w:rsid w:val="00B14377"/>
    <w:rsid w:val="00B14D7C"/>
    <w:rsid w:val="00B56A8A"/>
    <w:rsid w:val="00B80522"/>
    <w:rsid w:val="00B81DEB"/>
    <w:rsid w:val="00B878B7"/>
    <w:rsid w:val="00BC1B87"/>
    <w:rsid w:val="00BF2404"/>
    <w:rsid w:val="00BF28C0"/>
    <w:rsid w:val="00C00C62"/>
    <w:rsid w:val="00C35403"/>
    <w:rsid w:val="00C86D17"/>
    <w:rsid w:val="00C93CA6"/>
    <w:rsid w:val="00CB46ED"/>
    <w:rsid w:val="00CC7BCD"/>
    <w:rsid w:val="00CD134F"/>
    <w:rsid w:val="00D120A2"/>
    <w:rsid w:val="00D145BE"/>
    <w:rsid w:val="00D161BA"/>
    <w:rsid w:val="00D545B3"/>
    <w:rsid w:val="00D57572"/>
    <w:rsid w:val="00D819B4"/>
    <w:rsid w:val="00D908F6"/>
    <w:rsid w:val="00D965CF"/>
    <w:rsid w:val="00DA3380"/>
    <w:rsid w:val="00DB383A"/>
    <w:rsid w:val="00DE481A"/>
    <w:rsid w:val="00DE500D"/>
    <w:rsid w:val="00DE64B9"/>
    <w:rsid w:val="00E07BE1"/>
    <w:rsid w:val="00E13267"/>
    <w:rsid w:val="00E45868"/>
    <w:rsid w:val="00E45911"/>
    <w:rsid w:val="00E50172"/>
    <w:rsid w:val="00E83DB4"/>
    <w:rsid w:val="00E93013"/>
    <w:rsid w:val="00EB0971"/>
    <w:rsid w:val="00EB2B4F"/>
    <w:rsid w:val="00EC4444"/>
    <w:rsid w:val="00EC4A2C"/>
    <w:rsid w:val="00ED301A"/>
    <w:rsid w:val="00EE3141"/>
    <w:rsid w:val="00EF5F69"/>
    <w:rsid w:val="00EF68F1"/>
    <w:rsid w:val="00F147D5"/>
    <w:rsid w:val="00F20504"/>
    <w:rsid w:val="00F21B32"/>
    <w:rsid w:val="00F2207D"/>
    <w:rsid w:val="00F32A35"/>
    <w:rsid w:val="00F435E7"/>
    <w:rsid w:val="00F743F0"/>
    <w:rsid w:val="00F908F7"/>
    <w:rsid w:val="00F91D37"/>
    <w:rsid w:val="00F93B38"/>
    <w:rsid w:val="00FB39DD"/>
    <w:rsid w:val="00FC1FF1"/>
    <w:rsid w:val="00FC7178"/>
    <w:rsid w:val="00FD1BD7"/>
    <w:rsid w:val="00FE4817"/>
    <w:rsid w:val="00FF21A1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1F44D"/>
  <w15:docId w15:val="{FFEDD3C0-748A-45B6-A93F-C601D8D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94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B2316"/>
    <w:rPr>
      <w:rFonts w:eastAsiaTheme="minorHAnsi" w:cstheme="minorBidi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2316"/>
    <w:rPr>
      <w:rFonts w:ascii="Calibri" w:eastAsiaTheme="minorHAnsi" w:hAnsi="Calibri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AB23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1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EBA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BA"/>
    <w:rPr>
      <w:rFonts w:ascii="Calibri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BA"/>
    <w:rPr>
      <w:rFonts w:ascii="Segoe UI" w:hAnsi="Segoe UI" w:cs="Segoe UI"/>
      <w:sz w:val="18"/>
      <w:szCs w:val="18"/>
      <w:lang w:val="en-AU"/>
    </w:rPr>
  </w:style>
  <w:style w:type="paragraph" w:customStyle="1" w:styleId="SIText-Bold">
    <w:name w:val="SI Text - Bold"/>
    <w:link w:val="SIText-BoldChar"/>
    <w:qFormat/>
    <w:rsid w:val="00D908F6"/>
    <w:pPr>
      <w:spacing w:before="80" w:after="80"/>
    </w:pPr>
    <w:rPr>
      <w:rFonts w:ascii="Arial" w:hAnsi="Arial" w:cs="Times New Roman"/>
      <w:b/>
      <w:sz w:val="20"/>
      <w:szCs w:val="22"/>
      <w:lang w:val="en-AU" w:eastAsia="en-AU"/>
    </w:rPr>
  </w:style>
  <w:style w:type="character" w:customStyle="1" w:styleId="SIText-BoldChar">
    <w:name w:val="SI Text - Bold Char"/>
    <w:basedOn w:val="DefaultParagraphFont"/>
    <w:link w:val="SIText-Bold"/>
    <w:rsid w:val="00D908F6"/>
    <w:rPr>
      <w:rFonts w:ascii="Arial" w:hAnsi="Arial" w:cs="Times New Roman"/>
      <w:b/>
      <w:sz w:val="20"/>
      <w:szCs w:val="22"/>
      <w:lang w:val="en-AU" w:eastAsia="en-AU"/>
    </w:rPr>
  </w:style>
  <w:style w:type="paragraph" w:styleId="Revision">
    <w:name w:val="Revision"/>
    <w:hidden/>
    <w:uiPriority w:val="99"/>
    <w:semiHidden/>
    <w:rsid w:val="00A54176"/>
    <w:rPr>
      <w:rFonts w:ascii="Calibri" w:hAnsi="Calibri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1A56D7-03AB-4421-B29F-04A0C083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Barragan@</dc:creator>
  <cp:lastModifiedBy>Phil Freeman</cp:lastModifiedBy>
  <cp:revision>24</cp:revision>
  <cp:lastPrinted>2020-02-28T02:32:00Z</cp:lastPrinted>
  <dcterms:created xsi:type="dcterms:W3CDTF">2020-02-28T02:11:00Z</dcterms:created>
  <dcterms:modified xsi:type="dcterms:W3CDTF">2020-06-19T06:39:00Z</dcterms:modified>
</cp:coreProperties>
</file>