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37697" w14:textId="5CDF425B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40"/>
        </w:rPr>
      </w:pPr>
      <w:bookmarkStart w:id="0" w:name="_GoBack"/>
      <w:bookmarkEnd w:id="0"/>
      <w:r w:rsidRPr="00851BF0">
        <w:rPr>
          <w:rFonts w:ascii="Calibri" w:hAnsi="Calibri" w:cs="Calibri"/>
          <w:color w:val="000000" w:themeColor="text1"/>
          <w:sz w:val="40"/>
        </w:rPr>
        <w:t>Qualification Template</w:t>
      </w:r>
    </w:p>
    <w:p w14:paraId="7509334D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36"/>
        </w:rPr>
      </w:pPr>
    </w:p>
    <w:p w14:paraId="7D0216DE" w14:textId="329D858D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22"/>
          <w:szCs w:val="22"/>
        </w:rPr>
      </w:pPr>
      <w:r w:rsidRPr="00851BF0">
        <w:rPr>
          <w:rFonts w:ascii="Calibri" w:hAnsi="Calibri" w:cs="Calibri"/>
          <w:b/>
          <w:color w:val="000000" w:themeColor="text1"/>
          <w:sz w:val="22"/>
          <w:szCs w:val="22"/>
        </w:rPr>
        <w:t>QUALIFICATION CODE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  <w:t>CP</w:t>
      </w:r>
      <w:r w:rsidR="008448F6">
        <w:rPr>
          <w:rFonts w:ascii="Calibri" w:hAnsi="Calibri" w:cs="Calibri"/>
          <w:color w:val="000000" w:themeColor="text1"/>
          <w:sz w:val="22"/>
          <w:szCs w:val="22"/>
        </w:rPr>
        <w:t>C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03459D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B566E6">
        <w:rPr>
          <w:rFonts w:ascii="Calibri" w:hAnsi="Calibri" w:cs="Calibri"/>
          <w:color w:val="000000" w:themeColor="text1"/>
          <w:sz w:val="22"/>
          <w:szCs w:val="22"/>
        </w:rPr>
        <w:t>4</w:t>
      </w:r>
      <w:r w:rsidR="0003459D">
        <w:rPr>
          <w:rFonts w:ascii="Calibri" w:hAnsi="Calibri" w:cs="Calibri"/>
          <w:color w:val="000000" w:themeColor="text1"/>
          <w:sz w:val="22"/>
          <w:szCs w:val="22"/>
        </w:rPr>
        <w:t>20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4343344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22"/>
          <w:szCs w:val="22"/>
        </w:rPr>
      </w:pPr>
      <w:r w:rsidRPr="00851BF0">
        <w:rPr>
          <w:rFonts w:ascii="Calibri" w:hAnsi="Calibri" w:cs="Calibri"/>
          <w:b/>
          <w:color w:val="000000" w:themeColor="text1"/>
          <w:sz w:val="22"/>
          <w:szCs w:val="22"/>
        </w:rPr>
        <w:t>QUALIFICATION TITLE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  <w:t xml:space="preserve">Certificate </w:t>
      </w:r>
      <w:r w:rsidR="009958EE">
        <w:rPr>
          <w:rFonts w:ascii="Calibri" w:hAnsi="Calibri" w:cs="Calibri"/>
          <w:color w:val="000000" w:themeColor="text1"/>
          <w:sz w:val="22"/>
          <w:szCs w:val="22"/>
        </w:rPr>
        <w:t>III in</w:t>
      </w:r>
      <w:r w:rsidR="000C678D">
        <w:rPr>
          <w:rFonts w:ascii="Calibri" w:hAnsi="Calibri" w:cs="Calibri"/>
          <w:color w:val="000000" w:themeColor="text1"/>
          <w:sz w:val="22"/>
          <w:szCs w:val="22"/>
        </w:rPr>
        <w:t xml:space="preserve"> Construction Waterproofing</w:t>
      </w:r>
    </w:p>
    <w:p w14:paraId="719F91D7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11AAD2A7" w14:textId="77777777" w:rsidR="00851BF0" w:rsidRPr="00851BF0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851BF0">
        <w:rPr>
          <w:rFonts w:cs="Calibri"/>
          <w:b/>
          <w:color w:val="000000" w:themeColor="text1"/>
        </w:rPr>
        <w:t>QUALIFICATION DESCRIPTION</w:t>
      </w:r>
      <w:bookmarkStart w:id="1" w:name="_Hlk512512031"/>
    </w:p>
    <w:p w14:paraId="616019B9" w14:textId="1DAF8DA2" w:rsidR="009958EE" w:rsidRPr="009958EE" w:rsidRDefault="00EB2B4F" w:rsidP="009958EE">
      <w:pPr>
        <w:shd w:val="clear" w:color="auto" w:fill="FFFFFF"/>
        <w:spacing w:after="120"/>
        <w:rPr>
          <w:rFonts w:cs="Arial"/>
          <w:szCs w:val="22"/>
        </w:rPr>
      </w:pPr>
      <w:r w:rsidRPr="00EB2B4F">
        <w:rPr>
          <w:rFonts w:cs="Arial"/>
          <w:szCs w:val="22"/>
        </w:rPr>
        <w:t xml:space="preserve">This </w:t>
      </w:r>
      <w:r w:rsidR="000C678D" w:rsidRPr="000C678D">
        <w:rPr>
          <w:rFonts w:cs="Arial"/>
          <w:szCs w:val="22"/>
        </w:rPr>
        <w:t xml:space="preserve">qualification </w:t>
      </w:r>
      <w:r w:rsidR="005029D8">
        <w:rPr>
          <w:rFonts w:cs="Arial"/>
          <w:szCs w:val="22"/>
        </w:rPr>
        <w:t>is designed to meet the needs of workers who undertake</w:t>
      </w:r>
      <w:r w:rsidR="000C678D" w:rsidRPr="000C678D">
        <w:rPr>
          <w:rFonts w:cs="Arial"/>
          <w:szCs w:val="22"/>
        </w:rPr>
        <w:t xml:space="preserve"> waterproofing for residential and commercial construction</w:t>
      </w:r>
      <w:r w:rsidR="00C65C63">
        <w:rPr>
          <w:rFonts w:cs="Arial"/>
          <w:szCs w:val="22"/>
        </w:rPr>
        <w:t xml:space="preserve"> work</w:t>
      </w:r>
      <w:r w:rsidR="009958EE" w:rsidRPr="009958EE">
        <w:rPr>
          <w:rFonts w:cs="Arial"/>
          <w:szCs w:val="22"/>
        </w:rPr>
        <w:t>.</w:t>
      </w:r>
      <w:r w:rsidR="00C65C63">
        <w:rPr>
          <w:rFonts w:cs="Arial"/>
          <w:szCs w:val="22"/>
        </w:rPr>
        <w:t xml:space="preserve"> </w:t>
      </w:r>
      <w:r w:rsidR="00C65C63" w:rsidRPr="009958EE">
        <w:rPr>
          <w:rFonts w:cs="Arial"/>
          <w:szCs w:val="22"/>
        </w:rPr>
        <w:t xml:space="preserve">The </w:t>
      </w:r>
      <w:r w:rsidR="00C65C63" w:rsidRPr="00566E99">
        <w:rPr>
          <w:rFonts w:cs="Arial"/>
          <w:szCs w:val="22"/>
        </w:rPr>
        <w:t xml:space="preserve">qualification has core unit of competency requirements that cover common skills for the construction industry, as well as </w:t>
      </w:r>
      <w:r w:rsidR="00C65C63">
        <w:rPr>
          <w:rFonts w:cs="Arial"/>
          <w:szCs w:val="22"/>
        </w:rPr>
        <w:t xml:space="preserve">the </w:t>
      </w:r>
      <w:r w:rsidR="00C65C63" w:rsidRPr="00566E99">
        <w:rPr>
          <w:rFonts w:cs="Arial"/>
          <w:szCs w:val="22"/>
        </w:rPr>
        <w:t>specialist field of work</w:t>
      </w:r>
      <w:r w:rsidR="00C65C63">
        <w:rPr>
          <w:rFonts w:cs="Arial"/>
          <w:szCs w:val="22"/>
        </w:rPr>
        <w:t xml:space="preserve">, construction waterproofing. </w:t>
      </w:r>
      <w:proofErr w:type="spellStart"/>
      <w:r w:rsidR="00C65C63">
        <w:rPr>
          <w:rFonts w:cs="Arial"/>
          <w:szCs w:val="22"/>
        </w:rPr>
        <w:t>Waterproofers</w:t>
      </w:r>
      <w:proofErr w:type="spellEnd"/>
      <w:r w:rsidR="00C65C63">
        <w:rPr>
          <w:rFonts w:cs="Arial"/>
          <w:szCs w:val="22"/>
        </w:rPr>
        <w:t xml:space="preserve"> apply membranes and special coatings to protect contents and the structural integrity of buildings. </w:t>
      </w:r>
    </w:p>
    <w:p w14:paraId="3EC7ABDE" w14:textId="77777777" w:rsidR="009958EE" w:rsidRPr="009958EE" w:rsidRDefault="009958EE" w:rsidP="009958EE">
      <w:pPr>
        <w:shd w:val="clear" w:color="auto" w:fill="FFFFFF"/>
        <w:spacing w:after="120"/>
        <w:rPr>
          <w:rFonts w:cs="Arial"/>
          <w:szCs w:val="22"/>
        </w:rPr>
      </w:pPr>
      <w:r w:rsidRPr="009958EE">
        <w:rPr>
          <w:rFonts w:cs="Arial"/>
          <w:szCs w:val="22"/>
        </w:rPr>
        <w:t>Occupational titles may include:</w:t>
      </w:r>
    </w:p>
    <w:p w14:paraId="0D193F70" w14:textId="103F1B9A" w:rsidR="00566E99" w:rsidRPr="00103490" w:rsidRDefault="000C678D" w:rsidP="000C678D">
      <w:pPr>
        <w:numPr>
          <w:ilvl w:val="0"/>
          <w:numId w:val="18"/>
        </w:numPr>
        <w:spacing w:after="240"/>
        <w:ind w:left="720" w:hanging="360"/>
        <w:rPr>
          <w:rFonts w:eastAsiaTheme="minorHAnsi" w:cstheme="minorBidi"/>
        </w:rPr>
      </w:pPr>
      <w:proofErr w:type="spellStart"/>
      <w:r>
        <w:rPr>
          <w:rFonts w:cs="Arial"/>
          <w:bCs/>
          <w:szCs w:val="22"/>
        </w:rPr>
        <w:t>Waterproofer</w:t>
      </w:r>
      <w:proofErr w:type="spellEnd"/>
      <w:r>
        <w:rPr>
          <w:rFonts w:cs="Arial"/>
          <w:bCs/>
          <w:szCs w:val="22"/>
        </w:rPr>
        <w:t>.</w:t>
      </w:r>
    </w:p>
    <w:p w14:paraId="429D705E" w14:textId="2045EA6E" w:rsidR="00103490" w:rsidRDefault="00103490" w:rsidP="00103490">
      <w:pPr>
        <w:rPr>
          <w:rFonts w:eastAsiaTheme="minorEastAsia"/>
          <w:lang w:val="en-US"/>
        </w:rPr>
      </w:pPr>
      <w:r w:rsidRPr="00103490">
        <w:rPr>
          <w:rFonts w:eastAsiaTheme="minorEastAsia"/>
          <w:lang w:val="en-US"/>
        </w:rPr>
        <w:t>State and territory jurisdictions may have different licensing, legislative, regulatory or certification requirements. Relevant state and territory regulatory authorities should be consulted to confirm those requirements.</w:t>
      </w:r>
    </w:p>
    <w:p w14:paraId="353F5421" w14:textId="355DC0AB" w:rsidR="00981EA2" w:rsidRDefault="00981EA2" w:rsidP="00103490">
      <w:pPr>
        <w:rPr>
          <w:rFonts w:eastAsiaTheme="minorEastAsia"/>
          <w:lang w:val="en-US"/>
        </w:rPr>
      </w:pPr>
    </w:p>
    <w:p w14:paraId="68B53EFA" w14:textId="63CB1A6E" w:rsidR="00981EA2" w:rsidRPr="00103490" w:rsidRDefault="00981EA2" w:rsidP="00103490">
      <w:pPr>
        <w:rPr>
          <w:rFonts w:eastAsiaTheme="minorEastAsia"/>
          <w:lang w:val="en-US"/>
        </w:rPr>
      </w:pPr>
      <w:r>
        <w:rPr>
          <w:rFonts w:cs="Calibri"/>
          <w:color w:val="222222"/>
          <w:szCs w:val="22"/>
          <w:shd w:val="clear" w:color="auto" w:fill="FFFFFF"/>
        </w:rPr>
        <w:t>Completion of the general construction induction training program, specified in the Safe Work Australia model </w:t>
      </w:r>
      <w:r>
        <w:rPr>
          <w:rFonts w:cs="Calibri"/>
          <w:i/>
          <w:iCs/>
          <w:color w:val="222222"/>
          <w:szCs w:val="22"/>
          <w:shd w:val="clear" w:color="auto" w:fill="FFFFFF"/>
        </w:rPr>
        <w:t>Code of Practice: Construction Work</w:t>
      </w:r>
      <w:r>
        <w:rPr>
          <w:rFonts w:cs="Calibri"/>
          <w:color w:val="222222"/>
          <w:szCs w:val="22"/>
          <w:shd w:val="clear" w:color="auto" w:fill="FFFFFF"/>
        </w:rPr>
        <w:t>, is required by anyone carrying out construction work. Achievement of CPCCWHS1001 </w:t>
      </w:r>
      <w:r>
        <w:rPr>
          <w:rFonts w:cs="Calibri"/>
          <w:i/>
          <w:iCs/>
          <w:color w:val="222222"/>
          <w:szCs w:val="22"/>
          <w:shd w:val="clear" w:color="auto" w:fill="FFFFFF"/>
        </w:rPr>
        <w:t>Prepare to work safely in the construction industry</w:t>
      </w:r>
      <w:r>
        <w:rPr>
          <w:rFonts w:cs="Calibri"/>
          <w:color w:val="222222"/>
          <w:szCs w:val="22"/>
          <w:shd w:val="clear" w:color="auto" w:fill="FFFFFF"/>
        </w:rPr>
        <w:t> meets this requirement.</w:t>
      </w:r>
    </w:p>
    <w:p w14:paraId="683E8007" w14:textId="77777777" w:rsidR="00103490" w:rsidRDefault="00103490" w:rsidP="009958EE">
      <w:pPr>
        <w:spacing w:after="160" w:line="259" w:lineRule="auto"/>
        <w:rPr>
          <w:rFonts w:cs="Calibri"/>
          <w:b/>
          <w:color w:val="000000" w:themeColor="text1"/>
        </w:rPr>
      </w:pPr>
    </w:p>
    <w:p w14:paraId="4C22AC58" w14:textId="2761A688" w:rsidR="00851BF0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9958EE">
        <w:rPr>
          <w:rFonts w:cs="Calibri"/>
          <w:b/>
          <w:color w:val="000000" w:themeColor="text1"/>
        </w:rPr>
        <w:t>ENTRY REQUIREMENTS</w:t>
      </w:r>
    </w:p>
    <w:p w14:paraId="1E177495" w14:textId="759185E6" w:rsidR="00C65C63" w:rsidRPr="00C65C63" w:rsidRDefault="00C65C63" w:rsidP="009958EE">
      <w:pPr>
        <w:spacing w:after="160" w:line="259" w:lineRule="auto"/>
        <w:rPr>
          <w:rFonts w:eastAsiaTheme="minorHAnsi" w:cstheme="minorBidi"/>
          <w:bCs/>
          <w:szCs w:val="22"/>
        </w:rPr>
      </w:pPr>
      <w:r>
        <w:rPr>
          <w:rFonts w:cs="Calibri"/>
          <w:bCs/>
          <w:color w:val="000000" w:themeColor="text1"/>
        </w:rPr>
        <w:t>Nil.</w:t>
      </w:r>
    </w:p>
    <w:p w14:paraId="034C1D79" w14:textId="77777777" w:rsidR="00851BF0" w:rsidRPr="009958EE" w:rsidRDefault="00851BF0" w:rsidP="009958EE">
      <w:pPr>
        <w:spacing w:after="160" w:line="259" w:lineRule="auto"/>
        <w:rPr>
          <w:rFonts w:eastAsiaTheme="minorHAnsi" w:cstheme="minorBidi"/>
          <w:b/>
          <w:szCs w:val="22"/>
        </w:rPr>
      </w:pPr>
      <w:r w:rsidRPr="009958EE">
        <w:rPr>
          <w:rFonts w:cs="Calibri"/>
          <w:b/>
          <w:color w:val="000000" w:themeColor="text1"/>
        </w:rPr>
        <w:t xml:space="preserve">PACKAGING RULES </w:t>
      </w:r>
    </w:p>
    <w:p w14:paraId="1A135BAA" w14:textId="77777777" w:rsidR="009958EE" w:rsidRPr="009958EE" w:rsidRDefault="009958EE" w:rsidP="009958EE">
      <w:pPr>
        <w:shd w:val="clear" w:color="auto" w:fill="FFFFFF"/>
        <w:spacing w:after="120"/>
        <w:rPr>
          <w:rFonts w:cs="Arial"/>
          <w:szCs w:val="22"/>
        </w:rPr>
      </w:pPr>
      <w:bookmarkStart w:id="2" w:name="_Hlk515360770"/>
      <w:r w:rsidRPr="009958EE">
        <w:rPr>
          <w:rFonts w:cs="Arial"/>
          <w:szCs w:val="22"/>
        </w:rPr>
        <w:t>To achieve this qualification, the candidate must demonstrate competency in:</w:t>
      </w:r>
    </w:p>
    <w:p w14:paraId="73B03EC8" w14:textId="0A7AB387" w:rsidR="009958EE" w:rsidRPr="008448F6" w:rsidRDefault="00981EA2" w:rsidP="008448F6">
      <w:pPr>
        <w:numPr>
          <w:ilvl w:val="0"/>
          <w:numId w:val="18"/>
        </w:numPr>
        <w:ind w:left="720" w:hanging="36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19</w:t>
      </w:r>
      <w:r w:rsidR="009958EE" w:rsidRPr="008448F6">
        <w:rPr>
          <w:rFonts w:cs="Arial"/>
          <w:bCs/>
          <w:szCs w:val="22"/>
        </w:rPr>
        <w:t xml:space="preserve"> units of competency:</w:t>
      </w:r>
    </w:p>
    <w:p w14:paraId="4B656E13" w14:textId="6BBE4E5B" w:rsidR="009958EE" w:rsidRPr="008448F6" w:rsidRDefault="009958EE" w:rsidP="008448F6">
      <w:pPr>
        <w:pStyle w:val="ListParagraph"/>
        <w:numPr>
          <w:ilvl w:val="1"/>
          <w:numId w:val="18"/>
        </w:numPr>
        <w:rPr>
          <w:rFonts w:cs="Arial"/>
          <w:szCs w:val="22"/>
        </w:rPr>
      </w:pPr>
      <w:r w:rsidRPr="008448F6">
        <w:rPr>
          <w:rFonts w:cs="Arial"/>
          <w:szCs w:val="22"/>
        </w:rPr>
        <w:t>1</w:t>
      </w:r>
      <w:r w:rsidR="00981EA2">
        <w:rPr>
          <w:rFonts w:cs="Arial"/>
          <w:szCs w:val="22"/>
        </w:rPr>
        <w:t>4</w:t>
      </w:r>
      <w:r w:rsidR="005223A2">
        <w:rPr>
          <w:rFonts w:cs="Arial"/>
          <w:szCs w:val="22"/>
        </w:rPr>
        <w:t xml:space="preserve"> </w:t>
      </w:r>
      <w:r w:rsidRPr="008448F6">
        <w:rPr>
          <w:rFonts w:cs="Arial"/>
          <w:szCs w:val="22"/>
        </w:rPr>
        <w:t>core units</w:t>
      </w:r>
    </w:p>
    <w:p w14:paraId="0D3CACA4" w14:textId="713F6672" w:rsidR="009958EE" w:rsidRPr="008448F6" w:rsidRDefault="00CF3B97" w:rsidP="008448F6">
      <w:pPr>
        <w:pStyle w:val="ListParagraph"/>
        <w:numPr>
          <w:ilvl w:val="1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9958EE" w:rsidRPr="008448F6">
        <w:rPr>
          <w:rFonts w:cs="Arial"/>
          <w:szCs w:val="22"/>
        </w:rPr>
        <w:t xml:space="preserve"> elective units.</w:t>
      </w:r>
    </w:p>
    <w:p w14:paraId="0D2CD34F" w14:textId="77777777" w:rsidR="00C65C63" w:rsidRDefault="00C65C63" w:rsidP="00C65C63">
      <w:pPr>
        <w:shd w:val="clear" w:color="auto" w:fill="FFFFFF"/>
        <w:spacing w:after="120"/>
        <w:rPr>
          <w:rFonts w:cs="Arial"/>
        </w:rPr>
      </w:pPr>
      <w:bookmarkStart w:id="3" w:name="_Hlk27398374"/>
    </w:p>
    <w:p w14:paraId="604BC93F" w14:textId="67323BCB" w:rsidR="00C65C63" w:rsidRPr="009958EE" w:rsidRDefault="00C65C63" w:rsidP="00C65C63">
      <w:pPr>
        <w:shd w:val="clear" w:color="auto" w:fill="FFFFFF"/>
        <w:spacing w:after="120"/>
        <w:rPr>
          <w:rFonts w:cs="Arial"/>
        </w:rPr>
      </w:pPr>
      <w:r>
        <w:rPr>
          <w:rFonts w:cs="Arial"/>
        </w:rPr>
        <w:t>Electives must be selected as follows:</w:t>
      </w:r>
    </w:p>
    <w:p w14:paraId="56745472" w14:textId="4B961CD4" w:rsidR="00C65C63" w:rsidRDefault="00C65C63" w:rsidP="00C65C63">
      <w:pPr>
        <w:pStyle w:val="ListParagraph"/>
        <w:numPr>
          <w:ilvl w:val="0"/>
          <w:numId w:val="22"/>
        </w:numPr>
        <w:shd w:val="clear" w:color="auto" w:fill="FFFFFF"/>
        <w:spacing w:after="120"/>
        <w:rPr>
          <w:rFonts w:cs="Arial"/>
        </w:rPr>
      </w:pPr>
      <w:bookmarkStart w:id="4" w:name="_Hlk27394448"/>
      <w:r>
        <w:rPr>
          <w:rFonts w:cs="Arial"/>
        </w:rPr>
        <w:t xml:space="preserve">all </w:t>
      </w:r>
      <w:r w:rsidR="00AB0B60">
        <w:rPr>
          <w:rFonts w:cs="Arial"/>
        </w:rPr>
        <w:t xml:space="preserve">five </w:t>
      </w:r>
      <w:r>
        <w:rPr>
          <w:rFonts w:cs="Arial"/>
        </w:rPr>
        <w:t>units from the electives listed below, or</w:t>
      </w:r>
    </w:p>
    <w:p w14:paraId="47D87C18" w14:textId="72238C22" w:rsidR="00C65C63" w:rsidRPr="00B32227" w:rsidRDefault="00C65C63" w:rsidP="00C65C63">
      <w:pPr>
        <w:pStyle w:val="ListParagraph"/>
        <w:numPr>
          <w:ilvl w:val="0"/>
          <w:numId w:val="21"/>
        </w:numPr>
        <w:spacing w:before="120" w:after="120" w:line="259" w:lineRule="auto"/>
      </w:pPr>
      <w:r>
        <w:rPr>
          <w:rFonts w:cs="Arial"/>
        </w:rPr>
        <w:t xml:space="preserve">two units from the electives listed below, plus </w:t>
      </w:r>
      <w:r w:rsidR="00AB0B60">
        <w:rPr>
          <w:rFonts w:cs="Arial"/>
        </w:rPr>
        <w:t xml:space="preserve">three </w:t>
      </w:r>
      <w:r>
        <w:rPr>
          <w:rFonts w:cs="Arial"/>
        </w:rPr>
        <w:t>unit</w:t>
      </w:r>
      <w:r w:rsidR="00AB0B60">
        <w:rPr>
          <w:rFonts w:cs="Arial"/>
        </w:rPr>
        <w:t>s</w:t>
      </w:r>
      <w:r>
        <w:rPr>
          <w:rFonts w:cs="Arial"/>
        </w:rPr>
        <w:t xml:space="preserve"> selected from </w:t>
      </w:r>
      <w:r w:rsidRPr="002126AD">
        <w:t xml:space="preserve">any </w:t>
      </w:r>
      <w:r>
        <w:t xml:space="preserve">current </w:t>
      </w:r>
      <w:r w:rsidRPr="002126AD">
        <w:t xml:space="preserve">training package </w:t>
      </w:r>
      <w:r>
        <w:t xml:space="preserve">or accredited course </w:t>
      </w:r>
      <w:r w:rsidRPr="002126AD">
        <w:t xml:space="preserve">as long as </w:t>
      </w:r>
      <w:r w:rsidR="00AB0B60">
        <w:t>they</w:t>
      </w:r>
      <w:r>
        <w:t xml:space="preserve"> </w:t>
      </w:r>
      <w:r w:rsidRPr="002126AD">
        <w:t>contribute to a valid, industry-supported vocational outcome</w:t>
      </w:r>
      <w:r>
        <w:t>,</w:t>
      </w:r>
      <w:r w:rsidRPr="002126AD">
        <w:t xml:space="preserve"> maintain the </w:t>
      </w:r>
      <w:r>
        <w:t xml:space="preserve">integrity of the </w:t>
      </w:r>
      <w:r w:rsidRPr="002126AD">
        <w:t>AQF level of this qualification</w:t>
      </w:r>
      <w:r>
        <w:t xml:space="preserve"> and </w:t>
      </w:r>
      <w:r w:rsidRPr="00C03A0A">
        <w:t>do not duplicate the outcome of another unit used to achieve this qualification</w:t>
      </w:r>
      <w:r w:rsidRPr="002126AD">
        <w:t>.</w:t>
      </w:r>
    </w:p>
    <w:bookmarkEnd w:id="3"/>
    <w:bookmarkEnd w:id="4"/>
    <w:p w14:paraId="70FCB828" w14:textId="1F7E07C6" w:rsidR="00AB0B60" w:rsidRPr="00AB0B60" w:rsidRDefault="00AB0B60" w:rsidP="0072398B">
      <w:pPr>
        <w:pStyle w:val="SIText-Bold"/>
        <w:rPr>
          <w:rFonts w:ascii="Calibri" w:hAnsi="Calibri" w:cs="Calibri"/>
          <w:color w:val="000000"/>
          <w:sz w:val="22"/>
          <w:shd w:val="clear" w:color="auto" w:fill="FFFFFF"/>
        </w:rPr>
      </w:pPr>
      <w:r w:rsidRPr="00AB0B60">
        <w:rPr>
          <w:rFonts w:ascii="Calibri" w:hAnsi="Calibri" w:cs="Calibri"/>
          <w:color w:val="000000"/>
          <w:sz w:val="22"/>
          <w:shd w:val="clear" w:color="auto" w:fill="FFFFFF"/>
        </w:rPr>
        <w:t>Prerequisite units</w:t>
      </w:r>
    </w:p>
    <w:p w14:paraId="4277835E" w14:textId="58C3F78D" w:rsidR="0072398B" w:rsidRPr="0002227A" w:rsidRDefault="0072398B" w:rsidP="0072398B">
      <w:pPr>
        <w:pStyle w:val="SIText-Bold"/>
        <w:rPr>
          <w:rFonts w:ascii="Helvetica" w:hAnsi="Helvetica"/>
          <w:b w:val="0"/>
          <w:bCs/>
          <w:szCs w:val="20"/>
        </w:rPr>
      </w:pPr>
      <w:r w:rsidRPr="0002227A"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>An asterisk</w:t>
      </w:r>
      <w:r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 xml:space="preserve"> (*)</w:t>
      </w:r>
      <w:r w:rsidRPr="0002227A"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 xml:space="preserve"> against a unit code below indicates that there is a prerequisite requirement that must be met. </w:t>
      </w:r>
      <w:r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>P</w:t>
      </w:r>
      <w:r w:rsidRPr="0002227A"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>rerequisite unit</w:t>
      </w:r>
      <w:r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>(s)</w:t>
      </w:r>
      <w:r w:rsidRPr="0002227A"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 xml:space="preserve"> must be assessed before assessment of any unit of competency with an asterisk. Check the unit of competency for information on specific prerequisite requirement</w:t>
      </w:r>
      <w:r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>s</w:t>
      </w:r>
      <w:r w:rsidRPr="0002227A"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>. All prerequisite requirements are packaged in the qualification.</w:t>
      </w:r>
    </w:p>
    <w:p w14:paraId="762D22DF" w14:textId="77777777" w:rsidR="00851BF0" w:rsidRPr="00851BF0" w:rsidRDefault="00851BF0" w:rsidP="00851BF0">
      <w:pPr>
        <w:rPr>
          <w:rFonts w:cs="Calibri"/>
          <w:color w:val="000000" w:themeColor="text1"/>
          <w:u w:val="single"/>
        </w:rPr>
      </w:pPr>
    </w:p>
    <w:bookmarkEnd w:id="2"/>
    <w:p w14:paraId="3C9FB5EE" w14:textId="42156551" w:rsidR="00851BF0" w:rsidRPr="009958EE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9958EE">
        <w:rPr>
          <w:rFonts w:cs="Calibri"/>
          <w:b/>
          <w:color w:val="000000" w:themeColor="text1"/>
        </w:rPr>
        <w:lastRenderedPageBreak/>
        <w:t xml:space="preserve">Core </w:t>
      </w:r>
      <w:r w:rsidR="00AB0B60">
        <w:rPr>
          <w:rFonts w:cs="Calibri"/>
          <w:b/>
          <w:color w:val="000000" w:themeColor="text1"/>
        </w:rPr>
        <w:t>u</w:t>
      </w:r>
      <w:r w:rsidRPr="009958EE">
        <w:rPr>
          <w:rFonts w:cs="Calibri"/>
          <w:b/>
          <w:color w:val="000000" w:themeColor="text1"/>
        </w:rPr>
        <w:t>nits</w:t>
      </w:r>
    </w:p>
    <w:tbl>
      <w:tblPr>
        <w:tblStyle w:val="TableGridLight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7471"/>
      </w:tblGrid>
      <w:tr w:rsidR="00CF3B97" w:rsidRPr="005049C5" w14:paraId="452A8E33" w14:textId="77777777" w:rsidTr="00723D61">
        <w:tc>
          <w:tcPr>
            <w:tcW w:w="865" w:type="pct"/>
          </w:tcPr>
          <w:bookmarkEnd w:id="1"/>
          <w:p w14:paraId="56133B1C" w14:textId="7DAAB7A2" w:rsidR="00CF3B97" w:rsidRPr="008E5438" w:rsidRDefault="00CF3B97" w:rsidP="0003459D">
            <w:r w:rsidRPr="005717C5">
              <w:t>CPCC</w:t>
            </w:r>
            <w:r w:rsidR="0003459D">
              <w:t>O</w:t>
            </w:r>
            <w:r w:rsidRPr="005717C5">
              <w:t>M1012</w:t>
            </w:r>
          </w:p>
        </w:tc>
        <w:tc>
          <w:tcPr>
            <w:tcW w:w="4135" w:type="pct"/>
          </w:tcPr>
          <w:p w14:paraId="3ACF7E3C" w14:textId="3CE5E409" w:rsidR="00CF3B97" w:rsidRPr="008E5438" w:rsidRDefault="00CF3B97" w:rsidP="00CF3B97">
            <w:r w:rsidRPr="005717C5">
              <w:t>Work effectively and sustainably in the construction industry</w:t>
            </w:r>
          </w:p>
        </w:tc>
      </w:tr>
      <w:tr w:rsidR="00CF3B97" w:rsidRPr="005049C5" w14:paraId="651A1E03" w14:textId="77777777" w:rsidTr="00723D61">
        <w:tc>
          <w:tcPr>
            <w:tcW w:w="865" w:type="pct"/>
          </w:tcPr>
          <w:p w14:paraId="0C9E2288" w14:textId="3A180990" w:rsidR="00CF3B97" w:rsidRPr="008E5438" w:rsidRDefault="00CF3B97" w:rsidP="0003459D">
            <w:r w:rsidRPr="005717C5">
              <w:t>CPCC</w:t>
            </w:r>
            <w:r w:rsidR="0003459D">
              <w:t>O</w:t>
            </w:r>
            <w:r w:rsidRPr="005717C5">
              <w:t>M1013</w:t>
            </w:r>
          </w:p>
        </w:tc>
        <w:tc>
          <w:tcPr>
            <w:tcW w:w="4135" w:type="pct"/>
          </w:tcPr>
          <w:p w14:paraId="299F7361" w14:textId="31B9422C" w:rsidR="00CF3B97" w:rsidRPr="008E5438" w:rsidRDefault="00CF3B97" w:rsidP="00CF3B97">
            <w:r w:rsidRPr="005717C5">
              <w:t>Plan and organise work</w:t>
            </w:r>
          </w:p>
        </w:tc>
      </w:tr>
      <w:tr w:rsidR="00CF3B97" w:rsidRPr="005049C5" w14:paraId="4C0D3D58" w14:textId="77777777" w:rsidTr="00723D61">
        <w:tc>
          <w:tcPr>
            <w:tcW w:w="865" w:type="pct"/>
          </w:tcPr>
          <w:p w14:paraId="35FE47C3" w14:textId="2392662E" w:rsidR="00CF3B97" w:rsidRPr="008E5438" w:rsidRDefault="00CF3B97" w:rsidP="0003459D">
            <w:r w:rsidRPr="005717C5">
              <w:t>CPCC</w:t>
            </w:r>
            <w:r w:rsidR="0003459D">
              <w:t>O</w:t>
            </w:r>
            <w:r w:rsidRPr="005717C5">
              <w:t>M1014</w:t>
            </w:r>
          </w:p>
        </w:tc>
        <w:tc>
          <w:tcPr>
            <w:tcW w:w="4135" w:type="pct"/>
          </w:tcPr>
          <w:p w14:paraId="7713C22D" w14:textId="5F17F304" w:rsidR="00CF3B97" w:rsidRPr="008E5438" w:rsidRDefault="00CF3B97" w:rsidP="00CF3B97">
            <w:r w:rsidRPr="005717C5">
              <w:t>Conduct workplace communication</w:t>
            </w:r>
          </w:p>
        </w:tc>
      </w:tr>
      <w:tr w:rsidR="00CF3B97" w:rsidRPr="005049C5" w14:paraId="202EF539" w14:textId="77777777" w:rsidTr="00723D61">
        <w:tc>
          <w:tcPr>
            <w:tcW w:w="865" w:type="pct"/>
          </w:tcPr>
          <w:p w14:paraId="32F742B2" w14:textId="7B1B81E7" w:rsidR="00CF3B97" w:rsidRPr="008E5438" w:rsidRDefault="00CF3B97" w:rsidP="0003459D">
            <w:r w:rsidRPr="005717C5">
              <w:t>CPCC</w:t>
            </w:r>
            <w:r w:rsidR="0003459D">
              <w:t>O</w:t>
            </w:r>
            <w:r w:rsidRPr="005717C5">
              <w:t>M1015</w:t>
            </w:r>
          </w:p>
        </w:tc>
        <w:tc>
          <w:tcPr>
            <w:tcW w:w="4135" w:type="pct"/>
          </w:tcPr>
          <w:p w14:paraId="52C66574" w14:textId="16EAB6C3" w:rsidR="00CF3B97" w:rsidRPr="008E5438" w:rsidRDefault="00CF3B97" w:rsidP="00CF3B97">
            <w:r w:rsidRPr="005717C5">
              <w:t>Carry out measurements and calculations</w:t>
            </w:r>
          </w:p>
        </w:tc>
      </w:tr>
      <w:tr w:rsidR="0056594A" w:rsidRPr="005049C5" w14:paraId="6E5FF88C" w14:textId="77777777" w:rsidTr="00723D61">
        <w:tc>
          <w:tcPr>
            <w:tcW w:w="865" w:type="pct"/>
          </w:tcPr>
          <w:p w14:paraId="04AD83E3" w14:textId="2307BB82" w:rsidR="0056594A" w:rsidRPr="005717C5" w:rsidRDefault="0056594A" w:rsidP="0056594A">
            <w:r w:rsidRPr="002273E2">
              <w:t>CPCC</w:t>
            </w:r>
            <w:r>
              <w:t>O</w:t>
            </w:r>
            <w:r w:rsidRPr="002273E2">
              <w:t>M2001</w:t>
            </w:r>
          </w:p>
        </w:tc>
        <w:tc>
          <w:tcPr>
            <w:tcW w:w="4135" w:type="pct"/>
          </w:tcPr>
          <w:p w14:paraId="0FA95649" w14:textId="7AB134B4" w:rsidR="0056594A" w:rsidRPr="005717C5" w:rsidRDefault="0056594A" w:rsidP="0056594A">
            <w:r w:rsidRPr="002273E2">
              <w:t>Read and interpret plans and specifications</w:t>
            </w:r>
          </w:p>
        </w:tc>
      </w:tr>
      <w:tr w:rsidR="0056594A" w:rsidRPr="005049C5" w14:paraId="7645ADBF" w14:textId="77777777" w:rsidTr="00723D61">
        <w:tc>
          <w:tcPr>
            <w:tcW w:w="865" w:type="pct"/>
          </w:tcPr>
          <w:p w14:paraId="45F94F35" w14:textId="0C1DE2AC" w:rsidR="0056594A" w:rsidRPr="008E5438" w:rsidRDefault="0056594A" w:rsidP="0056594A">
            <w:r w:rsidRPr="005717C5">
              <w:t>CPCC</w:t>
            </w:r>
            <w:r>
              <w:t>W</w:t>
            </w:r>
            <w:r w:rsidRPr="005717C5">
              <w:t>HS2001</w:t>
            </w:r>
          </w:p>
        </w:tc>
        <w:tc>
          <w:tcPr>
            <w:tcW w:w="4135" w:type="pct"/>
          </w:tcPr>
          <w:p w14:paraId="08606D17" w14:textId="5FAB9373" w:rsidR="0056594A" w:rsidRPr="008E5438" w:rsidRDefault="0056594A" w:rsidP="0056594A">
            <w:r w:rsidRPr="005717C5">
              <w:t xml:space="preserve">Apply </w:t>
            </w:r>
            <w:r>
              <w:t>W</w:t>
            </w:r>
            <w:r w:rsidRPr="005717C5">
              <w:t>HS requirements, policies and procedures in the construction industry</w:t>
            </w:r>
          </w:p>
        </w:tc>
      </w:tr>
      <w:tr w:rsidR="0056594A" w:rsidRPr="005049C5" w14:paraId="00F810E2" w14:textId="77777777" w:rsidTr="00723D61">
        <w:tc>
          <w:tcPr>
            <w:tcW w:w="865" w:type="pct"/>
          </w:tcPr>
          <w:p w14:paraId="33222684" w14:textId="74846286" w:rsidR="0056594A" w:rsidRPr="006F31A0" w:rsidRDefault="0056594A" w:rsidP="0056594A">
            <w:r w:rsidRPr="00876744">
              <w:t>CPCCWP2001</w:t>
            </w:r>
            <w:r>
              <w:t>*</w:t>
            </w:r>
          </w:p>
        </w:tc>
        <w:tc>
          <w:tcPr>
            <w:tcW w:w="4135" w:type="pct"/>
          </w:tcPr>
          <w:p w14:paraId="402C5CFC" w14:textId="03B23DFC" w:rsidR="0056594A" w:rsidRPr="006F31A0" w:rsidRDefault="0056594A" w:rsidP="0056594A">
            <w:r w:rsidRPr="00876744">
              <w:t>Handle waterproofing materials</w:t>
            </w:r>
          </w:p>
        </w:tc>
      </w:tr>
      <w:tr w:rsidR="0056594A" w:rsidRPr="005049C5" w14:paraId="4CC32246" w14:textId="77777777" w:rsidTr="00723D61">
        <w:tc>
          <w:tcPr>
            <w:tcW w:w="865" w:type="pct"/>
          </w:tcPr>
          <w:p w14:paraId="47AC5FB4" w14:textId="15C4AEA9" w:rsidR="0056594A" w:rsidRPr="006F31A0" w:rsidRDefault="0056594A" w:rsidP="0056594A">
            <w:r w:rsidRPr="00876744">
              <w:t>CPCCWP2002</w:t>
            </w:r>
            <w:r>
              <w:t>*</w:t>
            </w:r>
          </w:p>
        </w:tc>
        <w:tc>
          <w:tcPr>
            <w:tcW w:w="4135" w:type="pct"/>
          </w:tcPr>
          <w:p w14:paraId="3AE05FAC" w14:textId="7C8EC643" w:rsidR="0056594A" w:rsidRPr="006F31A0" w:rsidRDefault="0056594A" w:rsidP="0056594A">
            <w:r w:rsidRPr="00876744">
              <w:t>Use waterproofing tools and equipment</w:t>
            </w:r>
          </w:p>
        </w:tc>
      </w:tr>
      <w:tr w:rsidR="0056594A" w:rsidRPr="005049C5" w14:paraId="7DDDB963" w14:textId="77777777" w:rsidTr="00723D61">
        <w:tc>
          <w:tcPr>
            <w:tcW w:w="865" w:type="pct"/>
          </w:tcPr>
          <w:p w14:paraId="4DF1A32A" w14:textId="5B217F3D" w:rsidR="0056594A" w:rsidRPr="006F31A0" w:rsidRDefault="0056594A" w:rsidP="0056594A">
            <w:r w:rsidRPr="00876744">
              <w:t>CPCCWP2004</w:t>
            </w:r>
            <w:r>
              <w:t>*</w:t>
            </w:r>
          </w:p>
        </w:tc>
        <w:tc>
          <w:tcPr>
            <w:tcW w:w="4135" w:type="pct"/>
          </w:tcPr>
          <w:p w14:paraId="4A0D5E0B" w14:textId="0A7D2CFF" w:rsidR="0056594A" w:rsidRPr="006F31A0" w:rsidRDefault="0056594A" w:rsidP="0056594A">
            <w:r w:rsidRPr="00876744">
              <w:t>Prepare surfaces for waterproofing application</w:t>
            </w:r>
          </w:p>
        </w:tc>
      </w:tr>
      <w:tr w:rsidR="0056594A" w:rsidRPr="005049C5" w14:paraId="18EBE27D" w14:textId="77777777" w:rsidTr="00723D61">
        <w:tc>
          <w:tcPr>
            <w:tcW w:w="865" w:type="pct"/>
          </w:tcPr>
          <w:p w14:paraId="501156C5" w14:textId="2F1B29B1" w:rsidR="0056594A" w:rsidRPr="006F31A0" w:rsidRDefault="0056594A" w:rsidP="0056594A">
            <w:r w:rsidRPr="002B228F">
              <w:t>CPCCWP3001</w:t>
            </w:r>
            <w:r>
              <w:t>*</w:t>
            </w:r>
          </w:p>
        </w:tc>
        <w:tc>
          <w:tcPr>
            <w:tcW w:w="4135" w:type="pct"/>
          </w:tcPr>
          <w:p w14:paraId="443AA57F" w14:textId="4B0BF142" w:rsidR="0056594A" w:rsidRPr="006F31A0" w:rsidRDefault="0056594A" w:rsidP="0056594A">
            <w:r w:rsidRPr="002B228F">
              <w:t>Apply waterproofing process to below</w:t>
            </w:r>
            <w:r>
              <w:t>-</w:t>
            </w:r>
            <w:r w:rsidRPr="002B228F">
              <w:t>ground level wet areas</w:t>
            </w:r>
          </w:p>
        </w:tc>
      </w:tr>
      <w:tr w:rsidR="0056594A" w:rsidRPr="005049C5" w14:paraId="565E8474" w14:textId="77777777" w:rsidTr="00723D61">
        <w:tc>
          <w:tcPr>
            <w:tcW w:w="865" w:type="pct"/>
          </w:tcPr>
          <w:p w14:paraId="2C5C97B9" w14:textId="401B3FAC" w:rsidR="0056594A" w:rsidRPr="006F31A0" w:rsidRDefault="0056594A" w:rsidP="0056594A">
            <w:r w:rsidRPr="002B228F">
              <w:t>CPCCWP3002</w:t>
            </w:r>
            <w:r>
              <w:t>*</w:t>
            </w:r>
          </w:p>
        </w:tc>
        <w:tc>
          <w:tcPr>
            <w:tcW w:w="4135" w:type="pct"/>
          </w:tcPr>
          <w:p w14:paraId="77356487" w14:textId="56BA4567" w:rsidR="0056594A" w:rsidRPr="006F31A0" w:rsidRDefault="0056594A" w:rsidP="0056594A">
            <w:r w:rsidRPr="002B228F">
              <w:t>Apply waterproofing process to internal wet areas</w:t>
            </w:r>
          </w:p>
        </w:tc>
      </w:tr>
      <w:tr w:rsidR="0056594A" w:rsidRPr="005049C5" w14:paraId="7E358C86" w14:textId="77777777" w:rsidTr="00723D61">
        <w:tc>
          <w:tcPr>
            <w:tcW w:w="865" w:type="pct"/>
          </w:tcPr>
          <w:p w14:paraId="030C4843" w14:textId="70667130" w:rsidR="0056594A" w:rsidRPr="006F31A0" w:rsidRDefault="0056594A" w:rsidP="0056594A">
            <w:r w:rsidRPr="002B228F">
              <w:t>CPCCWP3003</w:t>
            </w:r>
            <w:r>
              <w:t>*</w:t>
            </w:r>
          </w:p>
        </w:tc>
        <w:tc>
          <w:tcPr>
            <w:tcW w:w="4135" w:type="pct"/>
          </w:tcPr>
          <w:p w14:paraId="093CD7F5" w14:textId="03B431F1" w:rsidR="0056594A" w:rsidRPr="006F31A0" w:rsidRDefault="0056594A" w:rsidP="0056594A">
            <w:r w:rsidRPr="002B228F">
              <w:t xml:space="preserve">Apply waterproofing process to </w:t>
            </w:r>
            <w:r>
              <w:t xml:space="preserve">above-ground </w:t>
            </w:r>
            <w:r w:rsidRPr="002B228F">
              <w:t>external wet areas</w:t>
            </w:r>
          </w:p>
        </w:tc>
      </w:tr>
      <w:tr w:rsidR="0056594A" w:rsidRPr="005049C5" w14:paraId="4C915D2E" w14:textId="77777777" w:rsidTr="00723D61">
        <w:tc>
          <w:tcPr>
            <w:tcW w:w="865" w:type="pct"/>
          </w:tcPr>
          <w:p w14:paraId="675CDC31" w14:textId="2511381F" w:rsidR="0056594A" w:rsidRPr="006F31A0" w:rsidRDefault="0056594A" w:rsidP="0056594A">
            <w:r w:rsidRPr="002B228F">
              <w:t>CPCCWP3004</w:t>
            </w:r>
            <w:r>
              <w:t>*</w:t>
            </w:r>
          </w:p>
        </w:tc>
        <w:tc>
          <w:tcPr>
            <w:tcW w:w="4135" w:type="pct"/>
          </w:tcPr>
          <w:p w14:paraId="70782787" w14:textId="1090F1CE" w:rsidR="0056594A" w:rsidRPr="006F31A0" w:rsidRDefault="0056594A" w:rsidP="0056594A">
            <w:r w:rsidRPr="002B228F">
              <w:t>Apply waterproofing remedial processes</w:t>
            </w:r>
          </w:p>
        </w:tc>
      </w:tr>
      <w:tr w:rsidR="0056594A" w:rsidRPr="005049C5" w14:paraId="0D638ED1" w14:textId="77777777" w:rsidTr="00723D61">
        <w:tc>
          <w:tcPr>
            <w:tcW w:w="865" w:type="pct"/>
          </w:tcPr>
          <w:p w14:paraId="0EDC5B58" w14:textId="2AA10A1F" w:rsidR="0056594A" w:rsidRPr="002B228F" w:rsidRDefault="0056594A" w:rsidP="0056594A">
            <w:r w:rsidRPr="00876744">
              <w:t>CPCCWP</w:t>
            </w:r>
            <w:r>
              <w:t>3005*</w:t>
            </w:r>
          </w:p>
        </w:tc>
        <w:tc>
          <w:tcPr>
            <w:tcW w:w="4135" w:type="pct"/>
            <w:shd w:val="clear" w:color="auto" w:fill="auto"/>
          </w:tcPr>
          <w:p w14:paraId="36A9064D" w14:textId="7F0E1AA7" w:rsidR="0056594A" w:rsidRPr="002B228F" w:rsidRDefault="0056594A" w:rsidP="0056594A">
            <w:r>
              <w:t>Assess</w:t>
            </w:r>
            <w:r w:rsidRPr="00876744">
              <w:t xml:space="preserve"> construction waterproofing process</w:t>
            </w:r>
          </w:p>
        </w:tc>
      </w:tr>
      <w:tr w:rsidR="0056594A" w:rsidRPr="005049C5" w14:paraId="7A38A3C5" w14:textId="77777777" w:rsidTr="00723D61">
        <w:tc>
          <w:tcPr>
            <w:tcW w:w="865" w:type="pct"/>
          </w:tcPr>
          <w:p w14:paraId="5F9BEDE4" w14:textId="77777777" w:rsidR="0056594A" w:rsidRPr="00876744" w:rsidRDefault="0056594A" w:rsidP="0056594A"/>
        </w:tc>
        <w:tc>
          <w:tcPr>
            <w:tcW w:w="4135" w:type="pct"/>
            <w:shd w:val="clear" w:color="auto" w:fill="auto"/>
          </w:tcPr>
          <w:p w14:paraId="7C022B00" w14:textId="77777777" w:rsidR="0056594A" w:rsidRDefault="0056594A" w:rsidP="0056594A"/>
        </w:tc>
      </w:tr>
    </w:tbl>
    <w:p w14:paraId="6362DDB4" w14:textId="77777777" w:rsidR="00CF3B97" w:rsidRDefault="00CF3B97" w:rsidP="008448F6">
      <w:pPr>
        <w:rPr>
          <w:rFonts w:cs="Calibri"/>
          <w:b/>
          <w:color w:val="000000" w:themeColor="text1"/>
        </w:rPr>
      </w:pPr>
    </w:p>
    <w:p w14:paraId="0371E62F" w14:textId="2F81161F" w:rsidR="008448F6" w:rsidRDefault="008448F6" w:rsidP="008448F6">
      <w:pPr>
        <w:spacing w:after="160" w:line="259" w:lineRule="auto"/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 xml:space="preserve">Elective </w:t>
      </w:r>
      <w:r w:rsidR="00AB0B60">
        <w:rPr>
          <w:rFonts w:cs="Calibri"/>
          <w:b/>
          <w:color w:val="000000" w:themeColor="text1"/>
        </w:rPr>
        <w:t>u</w:t>
      </w:r>
      <w:r>
        <w:rPr>
          <w:rFonts w:cs="Calibri"/>
          <w:b/>
          <w:color w:val="000000" w:themeColor="text1"/>
        </w:rPr>
        <w:t>nits</w:t>
      </w:r>
    </w:p>
    <w:tbl>
      <w:tblPr>
        <w:tblW w:w="5008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7471"/>
      </w:tblGrid>
      <w:tr w:rsidR="00CF3B97" w:rsidRPr="005049C5" w14:paraId="6B9012B1" w14:textId="77777777" w:rsidTr="0003459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C646A7" w14:textId="60DF1206" w:rsidR="00CF3B97" w:rsidRPr="00960737" w:rsidRDefault="00CF3B97" w:rsidP="00CF3B97">
            <w:r w:rsidRPr="00883B14">
              <w:t>BSBSMB301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912047" w14:textId="68C34D8A" w:rsidR="00CF3B97" w:rsidRPr="00960737" w:rsidRDefault="00CF3B97" w:rsidP="00CF3B97">
            <w:r w:rsidRPr="00883B14">
              <w:t>Investigate micro business opportunities</w:t>
            </w:r>
          </w:p>
        </w:tc>
      </w:tr>
      <w:tr w:rsidR="00CF3B97" w:rsidRPr="005049C5" w14:paraId="2A24A229" w14:textId="77777777" w:rsidTr="0003459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29F468" w14:textId="16A311D8" w:rsidR="00CF3B97" w:rsidRPr="00960737" w:rsidRDefault="00CF3B97" w:rsidP="00CF3B97">
            <w:r w:rsidRPr="00883B14">
              <w:t>BSBSMB4</w:t>
            </w:r>
            <w:r w:rsidR="003E45EA">
              <w:t>21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920709" w14:textId="5677CCA9" w:rsidR="00CF3B97" w:rsidRPr="00960737" w:rsidRDefault="00CF3B97" w:rsidP="00CF3B97">
            <w:r w:rsidRPr="00883B14">
              <w:t>Manage small business finances</w:t>
            </w:r>
          </w:p>
        </w:tc>
      </w:tr>
      <w:tr w:rsidR="00CF3B97" w:rsidRPr="005049C5" w14:paraId="104DF685" w14:textId="77777777" w:rsidTr="0003459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6DDA15" w14:textId="48024F7A" w:rsidR="00CF3B97" w:rsidRPr="00960737" w:rsidRDefault="00CF3B97" w:rsidP="00CF3B97">
            <w:r w:rsidRPr="00883B14">
              <w:t>CPCCCA3012</w:t>
            </w:r>
            <w:r w:rsidR="0003459D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5433A4" w14:textId="2D334A20" w:rsidR="00CF3B97" w:rsidRPr="00960737" w:rsidRDefault="00CF3B97" w:rsidP="00CF3B97">
            <w:r w:rsidRPr="00883B14">
              <w:t>Frame and fit wet area fixtures</w:t>
            </w:r>
          </w:p>
        </w:tc>
      </w:tr>
      <w:tr w:rsidR="00CF3B97" w:rsidRPr="005049C5" w14:paraId="63305F5E" w14:textId="77777777" w:rsidTr="0003459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F6FAED" w14:textId="1BAFD636" w:rsidR="00CF3B97" w:rsidRPr="00960737" w:rsidRDefault="00CF3B97" w:rsidP="00CF3B97">
            <w:r w:rsidRPr="00883B14">
              <w:t>CPCCCM2002</w:t>
            </w:r>
            <w:r w:rsidR="0003459D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0508D3" w14:textId="0426686B" w:rsidR="00CF3B97" w:rsidRPr="00960737" w:rsidRDefault="00CF3B97" w:rsidP="00CF3B97">
            <w:r w:rsidRPr="00883B14">
              <w:t xml:space="preserve">Carry out </w:t>
            </w:r>
            <w:r w:rsidR="00CB542E">
              <w:t xml:space="preserve">hand </w:t>
            </w:r>
            <w:r w:rsidRPr="00883B14">
              <w:t>excavation</w:t>
            </w:r>
          </w:p>
        </w:tc>
      </w:tr>
      <w:tr w:rsidR="00CF3B97" w:rsidRPr="005049C5" w14:paraId="4FE2DB05" w14:textId="77777777" w:rsidTr="0003459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C77562" w14:textId="67BB1D4C" w:rsidR="00CF3B97" w:rsidRPr="00960737" w:rsidRDefault="00CF3B97" w:rsidP="00CF3B97">
            <w:r w:rsidRPr="00883B14">
              <w:t>CPCCCM2006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EF2171" w14:textId="671BBA11" w:rsidR="00CF3B97" w:rsidRPr="00960737" w:rsidRDefault="00CF3B97" w:rsidP="00CF3B97">
            <w:r w:rsidRPr="00883B14">
              <w:t>Apply basic levelling procedures</w:t>
            </w:r>
          </w:p>
        </w:tc>
      </w:tr>
      <w:tr w:rsidR="00CF3B97" w:rsidRPr="005049C5" w14:paraId="6B77FC1F" w14:textId="77777777" w:rsidTr="0003459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F9291B" w14:textId="43B995C2" w:rsidR="00CF3B97" w:rsidRPr="00960737" w:rsidRDefault="00CF3B97" w:rsidP="00CF3B97">
            <w:r w:rsidRPr="00883B14">
              <w:t>CPCCCM2007</w:t>
            </w:r>
            <w:r w:rsidR="0003459D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AAC5EE" w14:textId="6C64BD2C" w:rsidR="00CF3B97" w:rsidRDefault="00CF3B97" w:rsidP="00CF3B97">
            <w:r w:rsidRPr="00883B14">
              <w:t>Use explosive power tools</w:t>
            </w:r>
          </w:p>
        </w:tc>
      </w:tr>
      <w:tr w:rsidR="00CF3B97" w:rsidRPr="005049C5" w14:paraId="167D49CB" w14:textId="77777777" w:rsidTr="0003459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102818" w14:textId="41B2F989" w:rsidR="00CF3B97" w:rsidRPr="00960737" w:rsidRDefault="00CF3B97" w:rsidP="00CF3B97">
            <w:r w:rsidRPr="00883B14">
              <w:t>CPCCCM2008</w:t>
            </w:r>
            <w:r w:rsidR="0003459D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DF2439" w14:textId="57A89D14" w:rsidR="00CF3B97" w:rsidRPr="00960737" w:rsidRDefault="00CF3B97" w:rsidP="00CF3B97">
            <w:r w:rsidRPr="00883B14">
              <w:t>Erect and dismantle restricted height scaffolding</w:t>
            </w:r>
          </w:p>
        </w:tc>
      </w:tr>
      <w:tr w:rsidR="00CF3B97" w:rsidRPr="005049C5" w14:paraId="2E2E77CF" w14:textId="77777777" w:rsidTr="0003459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84B53B" w14:textId="0A1BD03E" w:rsidR="00CF3B97" w:rsidRPr="00960737" w:rsidRDefault="00CF3B97" w:rsidP="00CF3B97">
            <w:r w:rsidRPr="00883B14">
              <w:t>CPCCCM2009</w:t>
            </w:r>
            <w:r w:rsidR="0003459D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297307" w14:textId="3FBED02A" w:rsidR="00CF3B97" w:rsidRPr="00960737" w:rsidRDefault="00CF3B97" w:rsidP="00CF3B97">
            <w:r w:rsidRPr="00883B14">
              <w:t>Carry out basic demolition</w:t>
            </w:r>
          </w:p>
        </w:tc>
      </w:tr>
      <w:tr w:rsidR="00CF3B97" w:rsidRPr="005049C5" w14:paraId="7FE669A5" w14:textId="77777777" w:rsidTr="0003459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B716BE" w14:textId="629FAB69" w:rsidR="00CF3B97" w:rsidRPr="00960737" w:rsidRDefault="00CF3B97" w:rsidP="00CF3B97">
            <w:r w:rsidRPr="00883B14">
              <w:t>CPCCCM201</w:t>
            </w:r>
            <w:r w:rsidR="0003459D">
              <w:t>2*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F0547F" w14:textId="66D2BB82" w:rsidR="00CF3B97" w:rsidRPr="00960737" w:rsidRDefault="00CF3B97" w:rsidP="00CF3B97">
            <w:r w:rsidRPr="00883B14">
              <w:t>Work safely at heights</w:t>
            </w:r>
          </w:p>
        </w:tc>
      </w:tr>
      <w:tr w:rsidR="00CF3B97" w:rsidRPr="005049C5" w14:paraId="3C04C34A" w14:textId="77777777" w:rsidTr="0003459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6FD328" w14:textId="227FC5B2" w:rsidR="00CF3B97" w:rsidRPr="00960737" w:rsidRDefault="00CF3B97" w:rsidP="00CF3B97">
            <w:r w:rsidRPr="00883B14">
              <w:t>CPCCCM3001</w:t>
            </w:r>
            <w:r w:rsidR="0003459D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0474E1" w14:textId="12B75602" w:rsidR="00CF3B97" w:rsidRPr="00960737" w:rsidRDefault="00CF3B97" w:rsidP="00CF3B97">
            <w:r w:rsidRPr="00883B14">
              <w:t>Operate elevated work platforms</w:t>
            </w:r>
            <w:r w:rsidR="00CB542E">
              <w:t xml:space="preserve"> up to 11 metres</w:t>
            </w:r>
          </w:p>
        </w:tc>
      </w:tr>
      <w:tr w:rsidR="00CF3B97" w:rsidRPr="005049C5" w14:paraId="01369062" w14:textId="77777777" w:rsidTr="0003459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C4C8EC" w14:textId="1ACFFC62" w:rsidR="00CF3B97" w:rsidRPr="00960737" w:rsidRDefault="00CF3B97" w:rsidP="00CF3B97">
            <w:r w:rsidRPr="00883B14">
              <w:t>CPCCCO2013</w:t>
            </w:r>
            <w:r w:rsidR="0003459D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5CD3D0" w14:textId="04A8ED10" w:rsidR="00CF3B97" w:rsidRPr="00960737" w:rsidRDefault="00CF3B97" w:rsidP="00CF3B97">
            <w:r w:rsidRPr="00883B14">
              <w:t>Carry out concreting to simple forms</w:t>
            </w:r>
          </w:p>
        </w:tc>
      </w:tr>
    </w:tbl>
    <w:p w14:paraId="587317EE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5269F391" w14:textId="77777777" w:rsidR="00851BF0" w:rsidRPr="00851BF0" w:rsidRDefault="00851BF0" w:rsidP="00851BF0">
      <w:pPr>
        <w:pStyle w:val="Heading1"/>
      </w:pPr>
      <w:r w:rsidRPr="00851BF0">
        <w:t>QUALIFICATION MAPPING INFORMATION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394"/>
        <w:gridCol w:w="3213"/>
        <w:gridCol w:w="1306"/>
      </w:tblGrid>
      <w:tr w:rsidR="00851BF0" w:rsidRPr="00851BF0" w14:paraId="05D34F19" w14:textId="77777777" w:rsidTr="00AB0B60">
        <w:trPr>
          <w:trHeight w:hRule="exact" w:val="1087"/>
        </w:trPr>
        <w:tc>
          <w:tcPr>
            <w:tcW w:w="1164" w:type="pct"/>
            <w:shd w:val="clear" w:color="auto" w:fill="auto"/>
            <w:hideMark/>
          </w:tcPr>
          <w:p w14:paraId="45B1EBA0" w14:textId="3C1F8D62" w:rsidR="00851BF0" w:rsidRPr="00851BF0" w:rsidRDefault="00AB0B6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CP</w:t>
            </w:r>
            <w:r>
              <w:rPr>
                <w:rFonts w:cs="Calibri"/>
                <w:b/>
                <w:color w:val="000000" w:themeColor="text1"/>
              </w:rPr>
              <w:t>C</w:t>
            </w:r>
            <w:r w:rsidRPr="00851BF0">
              <w:rPr>
                <w:rFonts w:cs="Calibri"/>
                <w:b/>
                <w:color w:val="000000" w:themeColor="text1"/>
              </w:rPr>
              <w:t xml:space="preserve"> Construction, Plumbing and Services Training Package</w:t>
            </w:r>
          </w:p>
        </w:tc>
        <w:tc>
          <w:tcPr>
            <w:tcW w:w="1329" w:type="pct"/>
            <w:shd w:val="clear" w:color="auto" w:fill="auto"/>
            <w:hideMark/>
          </w:tcPr>
          <w:p w14:paraId="55A92CD2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CP</w:t>
            </w:r>
            <w:r w:rsidR="008448F6">
              <w:rPr>
                <w:rFonts w:cs="Calibri"/>
                <w:b/>
                <w:color w:val="000000" w:themeColor="text1"/>
              </w:rPr>
              <w:t>C08</w:t>
            </w:r>
            <w:r w:rsidRPr="00851BF0">
              <w:rPr>
                <w:rFonts w:cs="Calibri"/>
                <w:b/>
                <w:color w:val="000000" w:themeColor="text1"/>
              </w:rPr>
              <w:t xml:space="preserve"> Construction, Plumbing and Services Training Package</w:t>
            </w:r>
          </w:p>
        </w:tc>
        <w:tc>
          <w:tcPr>
            <w:tcW w:w="1783" w:type="pct"/>
            <w:shd w:val="clear" w:color="auto" w:fill="auto"/>
            <w:hideMark/>
          </w:tcPr>
          <w:p w14:paraId="56294A02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Comments</w:t>
            </w:r>
          </w:p>
        </w:tc>
        <w:tc>
          <w:tcPr>
            <w:tcW w:w="725" w:type="pct"/>
            <w:shd w:val="clear" w:color="auto" w:fill="auto"/>
            <w:hideMark/>
          </w:tcPr>
          <w:p w14:paraId="396F81CC" w14:textId="408BAD26" w:rsidR="00851BF0" w:rsidRPr="00851BF0" w:rsidRDefault="0003459D" w:rsidP="007C2137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E</w:t>
            </w:r>
            <w:r w:rsidR="00851BF0" w:rsidRPr="00851BF0">
              <w:rPr>
                <w:rFonts w:cs="Calibri"/>
                <w:b/>
                <w:color w:val="000000" w:themeColor="text1"/>
              </w:rPr>
              <w:t>quivalency statement</w:t>
            </w:r>
          </w:p>
        </w:tc>
      </w:tr>
      <w:tr w:rsidR="00851BF0" w:rsidRPr="00851BF0" w14:paraId="5F9F24A4" w14:textId="77777777" w:rsidTr="0003459D">
        <w:trPr>
          <w:trHeight w:val="812"/>
        </w:trPr>
        <w:tc>
          <w:tcPr>
            <w:tcW w:w="1164" w:type="pct"/>
            <w:shd w:val="clear" w:color="auto" w:fill="auto"/>
            <w:vAlign w:val="center"/>
          </w:tcPr>
          <w:p w14:paraId="168E1959" w14:textId="363A71BD" w:rsidR="00851BF0" w:rsidRPr="00851BF0" w:rsidRDefault="008448F6" w:rsidP="007C2137">
            <w:pPr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CPC3</w:t>
            </w:r>
            <w:r w:rsidR="0003459D">
              <w:rPr>
                <w:rFonts w:cs="Calibri"/>
                <w:color w:val="000000" w:themeColor="text1"/>
                <w:lang w:eastAsia="en-AU"/>
              </w:rPr>
              <w:t>1420</w:t>
            </w:r>
            <w:r>
              <w:rPr>
                <w:rFonts w:cs="Calibri"/>
                <w:color w:val="000000" w:themeColor="text1"/>
                <w:lang w:eastAsia="en-AU"/>
              </w:rPr>
              <w:t xml:space="preserve"> Certificate III in </w:t>
            </w:r>
            <w:r w:rsidR="00CF3B97">
              <w:rPr>
                <w:rFonts w:cs="Calibri"/>
                <w:color w:val="000000" w:themeColor="text1"/>
                <w:lang w:eastAsia="en-AU"/>
              </w:rPr>
              <w:t>Construction Waterproofing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646F25B3" w14:textId="234A9C10" w:rsidR="008448F6" w:rsidRDefault="008448F6" w:rsidP="007C213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CPC3</w:t>
            </w:r>
            <w:r w:rsidR="008B7086">
              <w:rPr>
                <w:rFonts w:cs="Calibri"/>
                <w:color w:val="000000" w:themeColor="text1"/>
              </w:rPr>
              <w:t>1</w:t>
            </w:r>
            <w:r w:rsidR="00CF3B97">
              <w:rPr>
                <w:rFonts w:cs="Calibri"/>
                <w:color w:val="000000" w:themeColor="text1"/>
              </w:rPr>
              <w:t>4</w:t>
            </w:r>
            <w:r w:rsidR="005223A2">
              <w:rPr>
                <w:rFonts w:cs="Calibri"/>
                <w:color w:val="000000" w:themeColor="text1"/>
              </w:rPr>
              <w:t>11</w:t>
            </w:r>
          </w:p>
          <w:p w14:paraId="170630FA" w14:textId="72ACA7B5" w:rsidR="00851BF0" w:rsidRPr="00851BF0" w:rsidRDefault="008448F6" w:rsidP="007C213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Certificate III in </w:t>
            </w:r>
            <w:r w:rsidR="00CF3B97">
              <w:rPr>
                <w:rFonts w:cs="Calibri"/>
                <w:color w:val="000000" w:themeColor="text1"/>
              </w:rPr>
              <w:t>Construction Waterproofing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266D67CB" w14:textId="77777777" w:rsidR="0003459D" w:rsidRDefault="0003459D" w:rsidP="0003459D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Supersedes and is equivalent to CPC31411</w:t>
            </w:r>
          </w:p>
          <w:p w14:paraId="63919E57" w14:textId="4E33A100" w:rsidR="00851BF0" w:rsidRPr="00851BF0" w:rsidRDefault="0003459D" w:rsidP="0003459D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Certificate III in Construction Waterproofing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474604C" w14:textId="4FA4D668" w:rsidR="00851BF0" w:rsidRPr="00851BF0" w:rsidRDefault="0003459D" w:rsidP="008448F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E</w:t>
            </w:r>
          </w:p>
        </w:tc>
      </w:tr>
    </w:tbl>
    <w:p w14:paraId="774D8A08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74B548AB" w14:textId="77777777" w:rsidR="00851BF0" w:rsidRDefault="00851BF0" w:rsidP="00851BF0">
      <w:pPr>
        <w:rPr>
          <w:b/>
        </w:rPr>
      </w:pPr>
      <w:r w:rsidRPr="00851BF0">
        <w:rPr>
          <w:b/>
        </w:rPr>
        <w:t>LINKS</w:t>
      </w:r>
    </w:p>
    <w:p w14:paraId="687C0858" w14:textId="77777777" w:rsidR="00AB0B60" w:rsidRDefault="00AB0B60" w:rsidP="00AB0B60">
      <w:bookmarkStart w:id="5" w:name="_Hlk27393427"/>
      <w:r w:rsidRPr="00936582">
        <w:rPr>
          <w:rFonts w:eastAsiaTheme="minorEastAsia"/>
          <w:lang w:val="en-GB"/>
        </w:rPr>
        <w:t xml:space="preserve">The Companion Volume Implementation Guide for the CPC Construction, Plumbing and Services Training Package is available </w:t>
      </w:r>
      <w:r>
        <w:t>at:</w:t>
      </w:r>
    </w:p>
    <w:p w14:paraId="79591240" w14:textId="77777777" w:rsidR="00AB0B60" w:rsidRPr="00936582" w:rsidRDefault="00AB0B60" w:rsidP="00AB0B60">
      <w:pPr>
        <w:rPr>
          <w:rFonts w:eastAsiaTheme="minorEastAsia"/>
          <w:lang w:val="en-GB"/>
        </w:rPr>
      </w:pPr>
      <w:r w:rsidRPr="00552F50">
        <w:rPr>
          <w:color w:val="000000"/>
        </w:rPr>
        <w:t> </w:t>
      </w:r>
      <w:hyperlink r:id="rId7" w:tgtFrame="_blank" w:history="1">
        <w:r w:rsidRPr="00552F50">
          <w:rPr>
            <w:rStyle w:val="Hyperlink"/>
            <w:color w:val="0563C1"/>
          </w:rPr>
          <w:t>https://vetnet.education.gov.au/Pages/TrainingDocs.aspx?q=7e15fa6a-68b8-4097-b099-030a5569b1ad</w:t>
        </w:r>
      </w:hyperlink>
      <w:r w:rsidRPr="00936582">
        <w:rPr>
          <w:rFonts w:eastAsiaTheme="minorEastAsia"/>
          <w:lang w:val="en-GB"/>
        </w:rPr>
        <w:t>.</w:t>
      </w:r>
    </w:p>
    <w:bookmarkEnd w:id="5"/>
    <w:p w14:paraId="624841F4" w14:textId="3BB9F86C" w:rsidR="00D120A2" w:rsidRPr="000E66CD" w:rsidRDefault="00D120A2" w:rsidP="00AB0B60">
      <w:pPr>
        <w:rPr>
          <w:rFonts w:cs="Calibri"/>
        </w:rPr>
      </w:pPr>
    </w:p>
    <w:sectPr w:rsidR="00D120A2" w:rsidRPr="000E66CD" w:rsidSect="00100640">
      <w:headerReference w:type="default" r:id="rId8"/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A6102" w14:textId="77777777" w:rsidR="0007555A" w:rsidRDefault="0007555A">
      <w:r>
        <w:separator/>
      </w:r>
    </w:p>
  </w:endnote>
  <w:endnote w:type="continuationSeparator" w:id="0">
    <w:p w14:paraId="68C66E99" w14:textId="77777777" w:rsidR="0007555A" w:rsidRDefault="0007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5207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6231B1" w14:textId="77777777" w:rsidR="00866AAA" w:rsidRDefault="00540D9F" w:rsidP="00F81562">
            <w:pPr>
              <w:pStyle w:val="Footer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17190E32" w14:textId="77777777" w:rsidR="00866AAA" w:rsidRDefault="00540D9F" w:rsidP="00F81562">
            <w:pPr>
              <w:pStyle w:val="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742652A" w14:textId="77777777" w:rsidR="00866AAA" w:rsidRDefault="0007555A" w:rsidP="00F81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322A9" w14:textId="77777777" w:rsidR="0007555A" w:rsidRDefault="0007555A">
      <w:r>
        <w:separator/>
      </w:r>
    </w:p>
  </w:footnote>
  <w:footnote w:type="continuationSeparator" w:id="0">
    <w:p w14:paraId="22562F7A" w14:textId="77777777" w:rsidR="0007555A" w:rsidRDefault="00075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C56F" w14:textId="195D3AD7" w:rsidR="00A664BF" w:rsidRDefault="0007555A" w:rsidP="00F81562">
    <w:pPr>
      <w:pStyle w:val="Header"/>
    </w:pPr>
  </w:p>
  <w:p w14:paraId="11C901A1" w14:textId="77777777" w:rsidR="00992786" w:rsidRPr="008722DF" w:rsidRDefault="0007555A" w:rsidP="00F8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7425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37EE5"/>
    <w:multiLevelType w:val="hybridMultilevel"/>
    <w:tmpl w:val="D7E4C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24AA4"/>
    <w:multiLevelType w:val="hybridMultilevel"/>
    <w:tmpl w:val="892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310AA"/>
    <w:multiLevelType w:val="hybridMultilevel"/>
    <w:tmpl w:val="05606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0B8F"/>
    <w:multiLevelType w:val="hybridMultilevel"/>
    <w:tmpl w:val="619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0614"/>
    <w:multiLevelType w:val="hybridMultilevel"/>
    <w:tmpl w:val="9A9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723A"/>
    <w:multiLevelType w:val="hybridMultilevel"/>
    <w:tmpl w:val="844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B12D4"/>
    <w:multiLevelType w:val="hybridMultilevel"/>
    <w:tmpl w:val="0D6A0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5E63"/>
    <w:multiLevelType w:val="hybridMultilevel"/>
    <w:tmpl w:val="78D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A3CB2"/>
    <w:multiLevelType w:val="hybridMultilevel"/>
    <w:tmpl w:val="BA2E295A"/>
    <w:lvl w:ilvl="0" w:tplc="0772E9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A0F71"/>
    <w:multiLevelType w:val="hybridMultilevel"/>
    <w:tmpl w:val="1E3A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2220B"/>
    <w:multiLevelType w:val="hybridMultilevel"/>
    <w:tmpl w:val="755E3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B3260"/>
    <w:multiLevelType w:val="hybridMultilevel"/>
    <w:tmpl w:val="2F368FBE"/>
    <w:lvl w:ilvl="0" w:tplc="0772E9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4224E"/>
    <w:multiLevelType w:val="hybridMultilevel"/>
    <w:tmpl w:val="7C1E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622F4"/>
    <w:multiLevelType w:val="hybridMultilevel"/>
    <w:tmpl w:val="3756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A4792"/>
    <w:multiLevelType w:val="hybridMultilevel"/>
    <w:tmpl w:val="FAD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F346C"/>
    <w:multiLevelType w:val="hybridMultilevel"/>
    <w:tmpl w:val="B4F0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F37F4"/>
    <w:multiLevelType w:val="hybridMultilevel"/>
    <w:tmpl w:val="7C20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20"/>
  </w:num>
  <w:num w:numId="5">
    <w:abstractNumId w:val="5"/>
  </w:num>
  <w:num w:numId="6">
    <w:abstractNumId w:val="4"/>
  </w:num>
  <w:num w:numId="7">
    <w:abstractNumId w:val="21"/>
  </w:num>
  <w:num w:numId="8">
    <w:abstractNumId w:val="18"/>
  </w:num>
  <w:num w:numId="9">
    <w:abstractNumId w:val="19"/>
  </w:num>
  <w:num w:numId="10">
    <w:abstractNumId w:val="8"/>
  </w:num>
  <w:num w:numId="11">
    <w:abstractNumId w:val="6"/>
  </w:num>
  <w:num w:numId="12">
    <w:abstractNumId w:val="10"/>
  </w:num>
  <w:num w:numId="13">
    <w:abstractNumId w:val="15"/>
  </w:num>
  <w:num w:numId="14">
    <w:abstractNumId w:val="2"/>
  </w:num>
  <w:num w:numId="15">
    <w:abstractNumId w:val="14"/>
  </w:num>
  <w:num w:numId="16">
    <w:abstractNumId w:val="1"/>
  </w:num>
  <w:num w:numId="17">
    <w:abstractNumId w:val="9"/>
  </w:num>
  <w:num w:numId="18">
    <w:abstractNumId w:val="12"/>
  </w:num>
  <w:num w:numId="19">
    <w:abstractNumId w:val="0"/>
  </w:num>
  <w:num w:numId="20">
    <w:abstractNumId w:val="11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42"/>
    <w:rsid w:val="0003459D"/>
    <w:rsid w:val="00034BDA"/>
    <w:rsid w:val="0007555A"/>
    <w:rsid w:val="000A2BE9"/>
    <w:rsid w:val="000A3810"/>
    <w:rsid w:val="000C678D"/>
    <w:rsid w:val="000D3688"/>
    <w:rsid w:val="000E66CD"/>
    <w:rsid w:val="000F27E7"/>
    <w:rsid w:val="00103490"/>
    <w:rsid w:val="00142862"/>
    <w:rsid w:val="00147728"/>
    <w:rsid w:val="001515EE"/>
    <w:rsid w:val="00166CF4"/>
    <w:rsid w:val="001847BC"/>
    <w:rsid w:val="001A2875"/>
    <w:rsid w:val="001A3942"/>
    <w:rsid w:val="001D675B"/>
    <w:rsid w:val="001D6DD8"/>
    <w:rsid w:val="001F6E2F"/>
    <w:rsid w:val="0021524D"/>
    <w:rsid w:val="002273E2"/>
    <w:rsid w:val="00261826"/>
    <w:rsid w:val="00333F40"/>
    <w:rsid w:val="00343991"/>
    <w:rsid w:val="003D62BD"/>
    <w:rsid w:val="003D6689"/>
    <w:rsid w:val="003E45EA"/>
    <w:rsid w:val="00441D2D"/>
    <w:rsid w:val="0049285D"/>
    <w:rsid w:val="004D182E"/>
    <w:rsid w:val="004D74C9"/>
    <w:rsid w:val="005029D8"/>
    <w:rsid w:val="005223A2"/>
    <w:rsid w:val="00540D9F"/>
    <w:rsid w:val="005449CA"/>
    <w:rsid w:val="00550D37"/>
    <w:rsid w:val="005565E2"/>
    <w:rsid w:val="0056594A"/>
    <w:rsid w:val="00566E99"/>
    <w:rsid w:val="005905A5"/>
    <w:rsid w:val="005D2024"/>
    <w:rsid w:val="00651CC3"/>
    <w:rsid w:val="00672F3A"/>
    <w:rsid w:val="006A3447"/>
    <w:rsid w:val="006B4079"/>
    <w:rsid w:val="006B5C77"/>
    <w:rsid w:val="006F1F5B"/>
    <w:rsid w:val="006F633B"/>
    <w:rsid w:val="007013B5"/>
    <w:rsid w:val="007031AB"/>
    <w:rsid w:val="00717B1C"/>
    <w:rsid w:val="0072398B"/>
    <w:rsid w:val="00723D61"/>
    <w:rsid w:val="0073065B"/>
    <w:rsid w:val="00774B13"/>
    <w:rsid w:val="007966A7"/>
    <w:rsid w:val="007C088B"/>
    <w:rsid w:val="007E4C7F"/>
    <w:rsid w:val="007F561A"/>
    <w:rsid w:val="008448F6"/>
    <w:rsid w:val="00851BF0"/>
    <w:rsid w:val="008662B4"/>
    <w:rsid w:val="00866CEF"/>
    <w:rsid w:val="0087310C"/>
    <w:rsid w:val="008B7086"/>
    <w:rsid w:val="008C2A3B"/>
    <w:rsid w:val="008C6791"/>
    <w:rsid w:val="008E50FC"/>
    <w:rsid w:val="00930EC9"/>
    <w:rsid w:val="00957F4E"/>
    <w:rsid w:val="00981EA2"/>
    <w:rsid w:val="00992FE3"/>
    <w:rsid w:val="009958EE"/>
    <w:rsid w:val="009C0E49"/>
    <w:rsid w:val="00A67C04"/>
    <w:rsid w:val="00A96944"/>
    <w:rsid w:val="00AA6420"/>
    <w:rsid w:val="00AB0B60"/>
    <w:rsid w:val="00B046B8"/>
    <w:rsid w:val="00B0737F"/>
    <w:rsid w:val="00B11194"/>
    <w:rsid w:val="00B566E6"/>
    <w:rsid w:val="00B647C0"/>
    <w:rsid w:val="00B878B7"/>
    <w:rsid w:val="00BC1B87"/>
    <w:rsid w:val="00BD10C6"/>
    <w:rsid w:val="00BD7679"/>
    <w:rsid w:val="00BD7838"/>
    <w:rsid w:val="00C00C62"/>
    <w:rsid w:val="00C2656B"/>
    <w:rsid w:val="00C65C63"/>
    <w:rsid w:val="00CB542E"/>
    <w:rsid w:val="00CF3B97"/>
    <w:rsid w:val="00D120A2"/>
    <w:rsid w:val="00D4671D"/>
    <w:rsid w:val="00D93FF5"/>
    <w:rsid w:val="00D965CF"/>
    <w:rsid w:val="00D97208"/>
    <w:rsid w:val="00DE481A"/>
    <w:rsid w:val="00DF1F4A"/>
    <w:rsid w:val="00E07BE1"/>
    <w:rsid w:val="00E30268"/>
    <w:rsid w:val="00E50172"/>
    <w:rsid w:val="00E93013"/>
    <w:rsid w:val="00EB2B4F"/>
    <w:rsid w:val="00EE4A42"/>
    <w:rsid w:val="00F24D64"/>
    <w:rsid w:val="00F26AB8"/>
    <w:rsid w:val="00F32A35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C5103"/>
  <w14:defaultImageDpi w14:val="32767"/>
  <w15:chartTrackingRefBased/>
  <w15:docId w15:val="{44D88796-CEC0-4E4D-9FB1-09114EC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23A2"/>
    <w:rPr>
      <w:rFonts w:ascii="Calibri" w:hAnsi="Calibri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1BF0"/>
    <w:pPr>
      <w:keepNext/>
      <w:keepLines/>
      <w:spacing w:after="160" w:line="252" w:lineRule="auto"/>
      <w:outlineLvl w:val="0"/>
    </w:pPr>
    <w:rPr>
      <w:rFonts w:cs="Calibr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1BF0"/>
    <w:rPr>
      <w:rFonts w:ascii="Calibri" w:hAnsi="Calibri" w:cs="Calibri"/>
      <w:b/>
      <w:color w:val="000000" w:themeColor="text1"/>
      <w:sz w:val="2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A3942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A3942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942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1A3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42"/>
    <w:rPr>
      <w:rFonts w:ascii="Calibri" w:hAnsi="Calibri" w:cs="Times New Roman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942"/>
    <w:rPr>
      <w:rFonts w:ascii="Calibri" w:hAnsi="Calibri" w:cs="Times New Roman"/>
      <w:sz w:val="22"/>
      <w:lang w:val="en-AU"/>
    </w:rPr>
  </w:style>
  <w:style w:type="character" w:styleId="Hyperlink">
    <w:name w:val="Hyperlink"/>
    <w:basedOn w:val="DefaultParagraphFont"/>
    <w:uiPriority w:val="99"/>
    <w:unhideWhenUsed/>
    <w:rsid w:val="001A39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394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67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C6791"/>
    <w:rPr>
      <w:color w:val="605E5C"/>
      <w:shd w:val="clear" w:color="auto" w:fill="E1DFDD"/>
    </w:rPr>
  </w:style>
  <w:style w:type="paragraph" w:styleId="ListBullet">
    <w:name w:val="List Bullet"/>
    <w:basedOn w:val="Normal"/>
    <w:rsid w:val="009958EE"/>
    <w:pPr>
      <w:keepNext/>
      <w:keepLines/>
      <w:spacing w:before="40" w:after="40"/>
      <w:contextualSpacing/>
    </w:pPr>
    <w:rPr>
      <w:rFonts w:ascii="Times New Roman" w:hAnsi="Times New Roman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D6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2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2BD"/>
    <w:rPr>
      <w:rFonts w:ascii="Calibri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2BD"/>
    <w:rPr>
      <w:rFonts w:ascii="Calibri" w:hAnsi="Calibri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2B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BD"/>
    <w:rPr>
      <w:rFonts w:ascii="Times New Roman" w:hAnsi="Times New Roman" w:cs="Times New Roman"/>
      <w:sz w:val="18"/>
      <w:szCs w:val="18"/>
      <w:lang w:val="en-AU"/>
    </w:rPr>
  </w:style>
  <w:style w:type="paragraph" w:customStyle="1" w:styleId="SIText-Bold">
    <w:name w:val="SI Text - Bold"/>
    <w:link w:val="SIText-BoldChar"/>
    <w:qFormat/>
    <w:rsid w:val="0072398B"/>
    <w:pPr>
      <w:spacing w:before="80" w:after="80"/>
    </w:pPr>
    <w:rPr>
      <w:rFonts w:ascii="Arial" w:hAnsi="Arial" w:cs="Times New Roman"/>
      <w:b/>
      <w:sz w:val="20"/>
      <w:szCs w:val="22"/>
      <w:lang w:val="en-AU" w:eastAsia="en-AU"/>
    </w:rPr>
  </w:style>
  <w:style w:type="character" w:customStyle="1" w:styleId="SIText-BoldChar">
    <w:name w:val="SI Text - Bold Char"/>
    <w:basedOn w:val="DefaultParagraphFont"/>
    <w:link w:val="SIText-Bold"/>
    <w:rsid w:val="0072398B"/>
    <w:rPr>
      <w:rFonts w:ascii="Arial" w:hAnsi="Arial" w:cs="Times New Roman"/>
      <w:b/>
      <w:sz w:val="20"/>
      <w:szCs w:val="22"/>
      <w:lang w:val="en-AU" w:eastAsia="en-AU"/>
    </w:rPr>
  </w:style>
  <w:style w:type="table" w:styleId="TableGridLight">
    <w:name w:val="Grid Table Light"/>
    <w:basedOn w:val="TableNormal"/>
    <w:uiPriority w:val="40"/>
    <w:rsid w:val="002273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vetnet.education.gov.au%2FPages%2FTrainingDocs.aspx%3Fq%3D7e15fa6a-68b8-4097-b099-030a5569b1ad&amp;data=02%7C01%7C%7C567cea29a83144a99ddc08d6955c6765%7C84df9e7fe9f640afb435aaaaaaaaaaaa%7C1%7C0%7C636860622041259036&amp;sdata=JKrqoQdUziJMyKPDhw5jsFdHEzB64AVTidzQ4eMEwrI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Katalin Bolkeny</cp:lastModifiedBy>
  <cp:revision>2</cp:revision>
  <dcterms:created xsi:type="dcterms:W3CDTF">2020-06-03T03:33:00Z</dcterms:created>
  <dcterms:modified xsi:type="dcterms:W3CDTF">2020-06-03T03:33:00Z</dcterms:modified>
</cp:coreProperties>
</file>